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9C_674/2012 vom 15. Januar 2013</w:t>
      </w:r>
    </w:p>
    <w:p>
      <w:r>
        <w:t>Bundesgericht, 2013-01-15, FR</w:t>
      </w:r>
    </w:p>
    <w:p>
      <w:r>
        <w:rPr>
          <w:b/>
        </w:rPr>
        <w:t xml:space="preserve">Quelle: </w:t>
      </w:r>
      <w:r>
        <w:t>https://mcp.opencaselaw.ch/entscheid/bger_9C_674_2012</w:t>
      </w:r>
    </w:p>
    <w:p>
      <w:r>
        <w:t>FR: TF 9C_674/2012 du 15 janvier 2013</w:t>
      </w:r>
    </w:p>
    <w:p>
      <w:r>
        <w:t>IT: TF 9C_674/2012 del 15 gennaio 2013</w:t>
      </w:r>
    </w:p>
    <w:p>
      <w:pPr>
        <w:pStyle w:val="Heading2"/>
      </w:pPr>
      <w:r>
        <w:t>Erwägungen</w:t>
      </w:r>
    </w:p>
    <w:p>
      <w:r>
        <w:rPr>
          <w:b/>
        </w:rPr>
        <w:t>E. 1</w:t>
      </w:r>
    </w:p>
    <w:p>
      <w:r>
        <w:t>Le recours en matière de droit public réalise les conditions de recevabilité posées par les art. 82 à 85 LTF. Partant, en raison de son caractère subsidiaire, le recours constitutionnel n'est pas recevable ( art. 113 LTF ).</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3.1</w:t>
      </w:r>
    </w:p>
    <w:p>
      <w:r>
        <w:t>Le litige porte sur les conditions de la remise de l'obligation de restituer la somme de 57'999 fr. 95, perçue par le recourant du 1er septembre 2004 au 31 mai 2009. En particulier, demeure litigieux le point de savoir si la bonne foi du recourant doit être niée pour le motif qu'il n'a pas annoncé à l'intimé que sa résidence habituelle n'était plus à Genève, mais en Italie.</w:t>
      </w:r>
    </w:p>
    <w:p>
      <w:r>
        <w:rPr>
          <w:b/>
        </w:rPr>
        <w:t>E. 3.2</w:t>
      </w:r>
    </w:p>
    <w:p>
      <w:r>
        <w:t>Le jugement entrepris expose correctement les conditions auxquelles la restitution de prestations indûment touchées ne peut pas être exigée de la personne concernée, en particulier l'exigence relative à la bonne foi. Il rappelle que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 ATF 112 V 97 consid. 2c p. 103; 110 V 176 consid. 3c p. 180).</w:t>
      </w:r>
    </w:p>
    <w:p>
      <w:r>
        <w:rPr>
          <w:b/>
        </w:rPr>
        <w:t>E. 3.3</w:t>
      </w:r>
    </w:p>
    <w:p>
      <w:r>
        <w:t>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Alors que la présence ou le défaut de conscience d'agir contrairement au droit relève d'une question de fait, qui ne peut être examinée par le Tribunal fédéral que sous l'angle de l' art. 105 al. 2 LTF (consid. 2 supra), l'examen de l'attention exigible constitue une question de droit qui peut être revue librement, dans la mesure où il s'agit d'examiner si l'intéressé peut invoquer sa bonne foi au vu des circonstances de fait données (arrêt 8C_1/2007 du 11 mai 2007, in SVR 2007 EL n° 8 p. 19; ATF 122 V 221 consid. 3 p. 223).</w:t>
      </w:r>
    </w:p>
    <w:p>
      <w:r>
        <w:rPr>
          <w:b/>
        </w:rPr>
        <w:t>E. 4.1</w:t>
      </w:r>
    </w:p>
    <w:p>
      <w:r>
        <w:t>La juridiction cantonale a nié la bonne foi du recourant, au motif qu'il avait omis d'annoncer à l'intimé son changement de résidence habituelle. Dès lors que le recourant avait résidé habituellement en Italie - ce qu'avaient admis la Cour de justice genevoise et, à sa suite, le Tribunal fédéral à l'issue de la procédure portant sur la restitution des prestations complémentaires -, il devait avoir conscience du changement de résidence. L'omission d'annoncer cette modification relevait d'une négligence grave, voire d'une intention délictuelle, de sorte que la condition de la bonne foi n'était pas réalisée.</w:t>
      </w:r>
    </w:p>
    <w:p>
      <w:r>
        <w:rPr>
          <w:b/>
        </w:rPr>
        <w:t>E. 4.2</w:t>
      </w:r>
    </w:p>
    <w:p>
      <w:r>
        <w:t>Le recourant conteste avoir commis une négligence grave, en soutenant que plusieurs éléments au dossier démontrent qu'on ne pouvait exiger de lui qu'il annonçât un quelconque changement de résidence. Il avait en effet toujours considéré que sa résidence habituelle était à Genève, où il payait régulièrement son loyer et ses factures courantes, fréquentait régulièrement ses connaissances et sa fratrie, et consultait régulièrement son médecin traitant, alors que trois communes italiennes avaient certifié qu'il n'était pas enregistré auprès d'elles comme résidant et qu'il n'avait effectué que des séjours de durée limitée en Italie.</w:t>
      </w:r>
    </w:p>
    <w:p>
      <w:r>
        <w:rPr>
          <w:b/>
        </w:rPr>
        <w:t>E. 4.3</w:t>
      </w:r>
    </w:p>
    <w:p>
      <w:r>
        <w:t>Compte tenu du pouvoir d'examen restreint dont jouit le Tribunal fédéral (consid. 2 supra), l'argumentation du recourant ne permet pas de considérer que les premiers juges auraient constaté les faits de manière manifestement inexacte ou arbitraire, lorsqu'ils ont tenu pour établi qu'il avait conscience d'avoir résidé la majorité du temps en Italie, et partant changé de résidence. Les circonstances qu'invoque le recourant - paiement d'un loyer à Genève et des factures des Services Industriels de Genève, non-enregistrement dans une commune italienne - ne suffisent pas pour établir, selon le degré de la vraisemblance prépondérante, qu'il n'avait pas conscience de l'irrégularité juridique relative à son lieu de résidence au regard des autres éléments pertinents au dossier, qu'il se garde bien d'évoquer.</w:t>
      </w:r>
    </w:p>
    <w:p>
      <w:r>
        <w:t>En effet, dès lors que le recourant a, durant la période litigieuse, versé la majeure partie des revenus lui servant à couvrir ses besoins vitaux dans un pays dans lequel sa fille s'était rendue pour suivre des études pendant une certaine durée et dans lequel il avait disposé successivement de trois adresses (les sommes versées servant au degré de la vraisemblance prépondérante à couvrir ses besoins en Italie; cf. arrêt 9C_166/2011 du 24 octobre 2011), il avait adopté un comportement dont il ne pouvait ignorer l'ambiguïté en ce qui concerne l'exigence de la résidence en Suisse comme condition pour le droit aux prestations complémentaires. S'ajoute à cela qu'au regard de l'échange de courriers entre l'administration et le recourant en été 2002 relatif à son intention de partir définitivement de Genève pour l'Italie - intention sur laquelle il est revenue le 4 juillet 2002 -, tel que constaté par la juridiction cantonale (et repris dans l'arrêt 9C_166/2011 cité), l'intéressé ne pouvait pas à l'évidence ignorer que le droit aux prestations complémentaires prenait fin avec un départ de Suisse et dépendait dès lors de la présence en Suisse (singulièrement du domicile et de la résidence en Suisse).</w:t>
      </w:r>
    </w:p>
    <w:p>
      <w:r>
        <w:t>Dans ces circonstances, on ne saurait admettre que le recourant n'était pas conscient du changement de résidence et pouvait se prévaloir de sa bonne foi.</w:t>
      </w:r>
    </w:p>
    <w:p>
      <w:r>
        <w:rPr>
          <w:b/>
        </w:rPr>
        <w:t>E. 4.4</w:t>
      </w:r>
    </w:p>
    <w:p>
      <w:r>
        <w:t>Comme la première condition de la remise au sens de l'art. 25 al. 1 deuxième phrase LPGA n'est pas réalisée, il n'y a pas lieu de se prononcer sur l'argumentation du recourant relative à sa situation financière en rapport avec la seconde condition relative à l'existence d'une "situation difficile".</w:t>
      </w:r>
    </w:p>
    <w:p>
      <w:r>
        <w:t>Le recours se révèle en conséquence mal fondé et doit être rejeté.</w:t>
      </w:r>
    </w:p>
    <w:p>
      <w:r>
        <w:rPr>
          <w:b/>
        </w:rPr>
        <w:t>E. 5</w:t>
      </w:r>
    </w:p>
    <w:p>
      <w:r>
        <w:t>Vu l'issue de la procédure, le recourant doit en principe supporter les frais judiciaires y afférents ( art. 66 al. 1 LTF ), alors qu'il n'a pas droit à des dépens ( art. 68 al. 1 LTF ). Il convient toutefois d'accepter sa demande d'assistance judiciaire, dès lors qu'il a établi son indigence, que le recours n'était pas d'emblée dénué de chances de succès et que l'assistance d'un avocat était indiquée (cf. art. 64 al. 1 et 2 LTF ). Le recourant est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