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672/2015 vom 7. April 2016</w:t>
      </w:r>
    </w:p>
    <w:p>
      <w:r>
        <w:t>Bundesgericht, 2016-04-07, FR</w:t>
      </w:r>
    </w:p>
    <w:p>
      <w:r>
        <w:rPr>
          <w:b/>
        </w:rPr>
        <w:t xml:space="preserve">Quelle: </w:t>
      </w:r>
      <w:r>
        <w:t>https://mcp.opencaselaw.ch/entscheid/bger_9C_672_2015</w:t>
      </w:r>
    </w:p>
    <w:p>
      <w:r>
        <w:t>FR: TF 9C 672/2015 du 7 avril 2016</w:t>
      </w:r>
    </w:p>
    <w:p>
      <w:r>
        <w:t>IT: TF 9C 672/2015 del 7 aprile 2016</w:t>
      </w:r>
    </w:p>
    <w:p>
      <w:pPr>
        <w:pStyle w:val="Heading2"/>
      </w:pPr>
      <w:r>
        <w:t>Regeste</w:t>
      </w:r>
    </w:p>
    <w:p>
      <w:r>
        <w:t>Prévoyance professionnelle (restitution)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litigieuse la restitution d'un montant de 11'940 fr. correspondant au supplément temporaire que la caisse intimée aurait indûment payé à la recourante durant la période comprise allant du mois de juillet 2012 au mois d'avril 2013. Etant donné les critiques dirigées contre le jugement cantonal, il s'agit d'examiner si l'institution de prévoyance était en droit de demander la restitution de ce montant. L'acte attaqué cite les normes et la jurisprudence indispensables à la solution du litige. Il suffit d'y renvoyer.</w:t>
      </w:r>
    </w:p>
    <w:p>
      <w:r>
        <w:rPr>
          <w:b/>
        </w:rPr>
        <w:t>E. 3.1</w:t>
      </w:r>
    </w:p>
    <w:p>
      <w:r>
        <w:t>L'assurée reproche au tribunal cantonal d'avoir violé l' art. 35a al. 2 LPP . Elle soutient en substance que le droit de demander la restitution des prestations litigieuses était périmé en février 2012, dans la mesure où la caisse intimée aurait pu se rendre compte en faisant preuve d'un minimum d'attention lorsque le premier certificat de vie a été déposé le 22 février 2011 que le supplément temporaire n'était plus dû.</w:t>
      </w:r>
    </w:p>
    <w:p>
      <w:r>
        <w:rPr>
          <w:b/>
        </w:rPr>
        <w:t>E. 3.2</w:t>
      </w:r>
    </w:p>
    <w:p>
      <w:r>
        <w:t>Ce grief n'est pas fondé. En effet, comme l'a correctement évoqué la juridiction cantonale, le délai pour solliciter la restitution de prestations ne peut courir tant que celles-ci n'ont pas été concrètement fournies ou - en d'autres termes - le droit de solliciter la restitution de prestations périodiques versées indûment ne saurait être prescrit avant même que l'administration ou l'institution d'assurance ne verse ces prestations (cf. notamment ATF 139 V 6 consid. 5.2 p. 10 s., arrêt 9C_363/2010 du 8 novembre 2011 consid. 2.1 in SVR 2012 IV n° 33 p. 131, arrêt 9C_473/2012 du 9 novembre 2012 consid. 3, ainsi que les références citées). Ce principe développé dans le contexte de l' art. 25 al. 2 LPGA est applicable à l' art. 35a al. 2 LPP par analogie dans la mesure où la teneur de ces dispositions légales est fondamentalement identique (cf., p. ex., arrêt 9C_611/2010 du 15 décembre 2010 consid. 3 in SVR 2011 BVG n° 25 p. 93). On ajoutera que le Tribunal fédéral a tranché la question longtemps restée ouverte de la nature péremptoire ou prescriptible des délais prévus à l' art. 35a al. 2 LPP , en jugeant que ceux-ci étaient des délais de prescription (voir arrêt 9C_563/2015 du 7 janvier 2016 consid. 3, destiné à la publication). La recourante ne saurait dès lors reprocher aux premiers juges d'avoir contrevenu à l' art. 35a al. 2 LPP en confirmant la validité de la requête du 23 mai 2013, par laquelle l'institution de prévoyance lui réclamait la restitution des 11'940 fr. versés indûment entre les mois de juillet 2012 et d'avril 2013. Manifestement infondé, le recours doit par conséquent être rejeté selon la procédure simplifiée de l' art. 109 al. 2 let. a LTF .</w:t>
      </w:r>
    </w:p>
    <w:p>
      <w:r>
        <w:rPr>
          <w:b/>
        </w:rPr>
        <w:t>E. 4</w:t>
      </w:r>
    </w:p>
    <w:p>
      <w:r>
        <w:t>Vu l'issue du litige, les frais judiciaires seront supportés par l'assurée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