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9C_670/2018 vom 12. Juni 2019</w:t>
      </w:r>
    </w:p>
    <w:p>
      <w:r>
        <w:t>Bundesgericht, 2019-06-12, DE</w:t>
      </w:r>
    </w:p>
    <w:p>
      <w:r>
        <w:rPr>
          <w:b/>
        </w:rPr>
        <w:t xml:space="preserve">Quelle: </w:t>
      </w:r>
      <w:r>
        <w:t>https://mcp.opencaselaw.ch/entscheid/bger_9C_670_2018</w:t>
      </w:r>
    </w:p>
    <w:p>
      <w:r>
        <w:t>FR: TF 9C_670/2018 du 12 juin 2019</w:t>
      </w:r>
    </w:p>
    <w:p>
      <w:r>
        <w:t>IT: TF 9C_670/2018 del 12 giugno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2</w:t>
      </w:r>
    </w:p>
    <w:p>
      <w:r>
        <w:t>Streitig und zu prüfen ist, ob die Vorinstanz die rentenaufhebende Verfügung vom 13. Dezember 2017 zu Recht bestätigt hat.</w:t>
      </w:r>
    </w:p>
    <w:p>
      <w:r>
        <w:t>Im angefochtenen Entscheid werden die massgebenden gesetzlichen Bestimmungen und die von der Rechtsprechung entwickelten Grundsätze zur Revision der Invalidenrente ( Art. 17 Abs. 1 ATSG ; BGE 141 V 9 E. 2.3 S. 10 mit Hinweisen) und zum massgeblichen zeitlichen Referenzpunkt ( BGE 133 V 108 E. 5.4 S. 114) richtig wiedergegeben. Korrekt sind auch die Erwägungen zum Beweiswert und zur Beweiswürdigung ärztlicher Berichte und Gutachten ( BGE 134 V 231 E. 5.1 S. 232; 125 V 351 E. 3a S. 352; vgl. zum Beweiswert zwecks Rentenrevision erstellter Expertisen Urteil 9C_418/2010 vom 29. August 2011 E. 4.2, publ. in: SVR 2012 IV Nr. 18 S. 81). Darauf wird verwiesen.</w:t>
      </w:r>
    </w:p>
    <w:p>
      <w:r>
        <w:rPr>
          <w:b/>
        </w:rPr>
        <w:t>E. 3</w:t>
      </w:r>
    </w:p>
    <w:p>
      <w:r>
        <w:t>Die Vorinstanz mass dem SMAB-Gutachten vom 12. Mai 2017 Beweiswert zu. Gestützt auf die Stellungnahme des RAD vom 31. Mai 2017 kam sie sodann zum Schluss, seit der rheumatologischen Untersuchung im Jahre 2008 (Untersuchungsbericht des RAD vom 12. November 2008) habe beim Beschwerdeführer eine Angewöhnung bzw. eine Anpassung an seine Leiden stattgefunden. Demzufolge sei ein Revisionsgrund im Sinne von Art. 17 ATSG ausgewiesen, selbst wenn der medizinische Sachverhalt an und für sich unverändert geblieben sei. Gestützt auf die in der SMAB-Expertise attestierte Arbeitsfähigkeit von 100 % für angepasste Tätigkeiten ermittelte das kantonale Gericht einen rentenausschliessenden Invaliditätsgrad.</w:t>
      </w:r>
    </w:p>
    <w:p>
      <w:r>
        <w:rPr>
          <w:b/>
        </w:rPr>
        <w:t>E. 4</w:t>
      </w:r>
    </w:p>
    <w:p>
      <w:r>
        <w:t>Was in der Beschwerde dagegen vorgebracht wird, verfängt nicht:</w:t>
      </w:r>
    </w:p>
    <w:p>
      <w:r>
        <w:rPr>
          <w:b/>
        </w:rPr>
        <w:t>E. 4.1</w:t>
      </w:r>
    </w:p>
    <w:p>
      <w:r>
        <w:t>Der Beschwerdeführer wendet sich zunächst gegen den Beweiswert der SMAB-Expertise. Soweit er eine zu kurze Untersuchungsdauer bemängelt, ist dem entgegenzuhalten, dass es für den Aussagegehalt eines medizinischen Gutachtens nicht in erster Linie auf die Untersuchungsdauer ankommt. Zwar muss der zu betreibende zeitliche Aufwand der Fragestellung und der zu beurteilenden Pathologie angemessen sein; in erster Linie hängt der Aussagegehalt einer Expertise aber davon ab, ob sie inhaltlich vollständig und im Ergebnis schlüssig ist (Urteil 8C_695/2015 vom 19. November 2015 E. 3.4). Dass die im orthopädisch/traumatologischen Teilgutachten des SMAB angegebene Untersuchungsdauer von 90 Minuten nicht angemessen wäre, wird nicht geltend gemacht. Die stattdessen bereits im vorinstanzlichen Verfahren erhobene Behauptung, es habe lediglich ein Gespräch von 15 Minuten gefolgt von einer Untersuchung von fünf Minuten stattgefunden, wurde im angefochtenen Entscheid zutreffend entkräftet. Die Vorinstanz hat auch dargelegt, weshalb sie diesbezüglich - ohne den Anspruch auf rechtliches Gehör zu verletzen - auf die Durchführung einer Parteibefragung verzichten durfte. Mit diesen Erwägungen setzt sich der Beschwerdeführer nicht auseinander ( Art. 42 Abs. 2 BGG ). Weiterungen dazu erübrigen sich.</w:t>
      </w:r>
    </w:p>
    <w:p>
      <w:r>
        <w:t>Entgegen der Beschwerde ist nicht ersichtlich, inwiefern die Hinweise der Gutachter auf eine Aggravation/Simulation sowie auf eine mangelnde Medikamentencompliance gegen den Beweiswert der SMAB-Expertise sprechen sollten. So beschrieben sie zahlreiche Inkonsistenzen und Widersprüchlichkeiten und führten einen Beschwerdevalidierungstest durch. Einzig aus dem Fehlen näherer Ausführungen zum konkreten Testverfahren kann der Beschwerdeführer nichts zu seinen Gunsten ableiten. Was die mit Laborwerten gesicherte mangelnde Medikamentencompliance anbelangt, gestand der Beschwerdeführer eine solche (auf Nachfrage) selber ein.</w:t>
      </w:r>
    </w:p>
    <w:p>
      <w:r>
        <w:rPr>
          <w:b/>
        </w:rPr>
        <w:t>E. 4.2</w:t>
      </w:r>
    </w:p>
    <w:p>
      <w:r>
        <w:t>Der Einwand des Beschwerdeführers, aus der SMAB-Expertise vom 12. Mai 2017 (insbesondere aus den darin gestellten Diagnosen) gehe keine wesentliche Änderung des Gesundheitszustands hervor, zielt bereits deshalb an der Sache vorbei, weil die Vorinstanz das Vorliegen eines Revisionsgrunds nicht mit einem veränderten medizinischen Sachverhalt, sondern mit einer Leidensadaptierung begründete. Selbst wenn das kantonale Gericht aber (richtigerweise) von einem verbesserten Gesundheitszustand ausgegangen wäre (wobei diesfalls die Diagnosestellung revisionsrechtlich gerade nicht massgeblich ist, sondern die klar ausgewiesene Änderung in den Befundlagen 2008 und 2017; vgl. Urteil 9C_711/2018 vom 12. April 2019 E. 2.2 mit Hinweis), änderte dies im Ergebnis nichts (vgl. nachfolgend E. 4.3).</w:t>
      </w:r>
    </w:p>
    <w:p>
      <w:r>
        <w:rPr>
          <w:b/>
        </w:rPr>
        <w:t>E. 4.3</w:t>
      </w:r>
    </w:p>
    <w:p>
      <w:r>
        <w:t>Nicht zielführend ist der Hinweis, aus dem Gutachten des SMAB vom 12. Mai 2017 gehe eine Anpassung des Beschwerdeführers an seine Leiden nicht hervor. Der Beschwerdeführer lässt ausser Acht, dass sich die Vorinstanz diesbezüglich nicht auf die SMAB-Expertise, sondern auf die Ausführungen des Dr. med. C.________, FMH orthopädische Chirurgie und Traumatologie, in der Stellungnahme des RAD vom 31. Mai 2017 stützte. Dr. med. C.________ hatte darin ausgeführt, anders als im Jahre 2008 fehlten beim Beschwerdeführer aktuell Verspannungen der Hals-, Brust- und Lendenwirbelsäule. Insgesamt habe ein normaler Spannungszustand der Muskulatur des Achsorgans ohne Myogelosen oder Muskelatrophien vorgelegen. Zudem sei nunmehr eine Seitneigung hochlumbal beidseits bis zum Normalwert möglich, wohingegen eine solche im Jahre 2008 beidseits (um mindestens 50 %) eingeschränkt gewesen sei. Zudem habe sich der Fingerkuppen-Boden-Abstand von damals 44 cm auf 10 cm verbessert. Gestützt auf diese erheblich veränderte Befundlage stellte die Vorinstanz fest, der Beschwerdeführer habe sich mittlerweile an die Leiden gewöhnt bzw. angepasst. Inwiefern diese Feststellungen offensichtlich unrichtig oder sonstwie bundesrechtswidrig sein sollen, ist weder ersichtlich noch in der Beschwerde geltend gemacht. Das Bundesgericht bleibt daran gebunden (vgl. E. 1 hievor).</w:t>
      </w:r>
    </w:p>
    <w:p>
      <w:r>
        <w:rPr>
          <w:b/>
        </w:rPr>
        <w:t>E. 4.4</w:t>
      </w:r>
    </w:p>
    <w:p>
      <w:r>
        <w:t>Zusammengefasst ist unter Berücksichtigung der eingeschränkten Kognition des Bundesgerichts sowie mit Blick auf die erhobenen Rügen nicht zu beanstanden, dass die Vorinstanz einen Revisionsgrund bejahte. Der Beschwerdeführer erhebt auch keine substanziiert begründeten Einwände gegen den Einkommensvergleich. Es hat daher beim angefochtenen Entscheid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