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9C_66/2022 vom 7. August 2023</w:t>
      </w:r>
    </w:p>
    <w:p>
      <w:r>
        <w:t>Bundesgericht, 2023-08-07, DE</w:t>
      </w:r>
    </w:p>
    <w:p>
      <w:r>
        <w:rPr>
          <w:b/>
        </w:rPr>
        <w:t xml:space="preserve">Quelle: </w:t>
      </w:r>
      <w:r>
        <w:t>https://mcp.opencaselaw.ch/entscheid/bger_9C_66_2022</w:t>
      </w:r>
    </w:p>
    <w:p>
      <w:r>
        <w:t>FR: TF 9C_66/2022 du 7 août 2023</w:t>
      </w:r>
    </w:p>
    <w:p>
      <w:r>
        <w:t>IT: TF 9C_66/2022 del 7 agosto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9C_66/2022 und 9C_80/2022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In ihrer Eingabe vom 20. April 2023 erklärte die Ausgleichskasse, einzelne Beschwerdeanträge, mit welchen sie gefordert hatte, der Uber B.V. bzw. der Rasier Operations B.V. sei eine Frist für die Einreichung der Lohnangaben anzusetzen, seien zwischenzeitlich obsolet geworden, weil die Uber B.V. sowie die Rasier Operations B.V. die entsprechenden Informationen betreffend A.________ mit E-Mail vom 9. September 2022 geliefert hätten. Fallen gelassen wurde weiter auch der Subeventualantrag auf verbindliche Festlegung der Unkosten und Rückweisung an die Verwaltung zur Festsetzung der Lohnbeiträge des A.________ für das Jahr 2014. Die entsprechende Präzisierung des Rechtsbegehrens ist als teilweiser Beschwerderückzug (mit der Folge teilweiser Gegenstandslosigkeit) ohne weiteres zulässig (vgl. E. 3.1).</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[betreffend den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A.________ im Jahr 2014 als UberX-Fahrer eine unselbstständige Erwerbstätigkeit ausübte. Umstände, welche in seinem Fall eine zusätzliche Prüfung im Sinne des in E. 5.1 Gesagten (unter Hinweis auf das erste Grundsatzurteil) rechtfertigen würden, sind weder geltend gemacht noch sonst wie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bei einer Tätigkeit für den Fahrdienst UberX ist die Uber B.V. gemäss E. 9.2 des ersten Grundsatzurteils als Arbeitgeberin zu betrachten. Es bestehen keine Hinweise darauf, dass A.________ für UberPop tätig war, in welchem Fall die Rasier Operations B.V. die zuständige Arbeitgeberin wäre (E. 9.2 des zweiten Grundsatzurteils). In diesem Punkt ist das angefochtene Urteil mithin, entsprechend dem von der Kasse gestellten Antrag, dahingehend abzuändern und der Einspracheentscheid dahingehend zu bestätigen, als festzustellen ist, dass A.________ für die Uber B.V. (in unselbstständiger Stellung) tätig war. Was schliesslich die von der Kasse in diesem Zusammenhang in ihren Anträgen erneut thematisierte Betriebsstättenfrage anbelangt, handelt es sich um ein Aspekt, der betreffend das Verhältnis zwischen der Uber B.V. und den dem "Standardfahrer" entsprechenden Fahrern, mithin auch A.________, bereits im ersten Grundsatzurteil behandelt worden ist. Es kann auf die dortige E. 10, insbesondere E. 10.8.3, verwiesen werden, wonach die Uber B.V. in den Räumlichkeiten der Uber Switzerland GmbH (und nicht in der Form der Rechtsperson Uber Switzerland GmbH) eine Betriebsstätte unterhält. Von keiner Seite werden Umstände geltend gemacht, welche hier eine andere Beurteilung rechtfertigen würden. Bei dieser Sachlage ist der diesbezügliche Antrag der Ausgleichskasse gegenstandslos geworden.</w:t>
      </w:r>
    </w:p>
    <w:p>
      <w:r>
        <w:rPr>
          <w:b/>
        </w:rPr>
        <w:t>E. 5.3</w:t>
      </w:r>
    </w:p>
    <w:p>
      <w:r>
        <w:t>Das vorinstanzliche Urteil ist mithin betreffend das Beitragsstatut zu bestätigen sowie betreffend die Arbeitgebereigenschaft insoweit aufzuheben und der Einspracheentscheid insoweit zu bestätigen, als festzustellen ist, dass A.________ (in unselbstständiger Stellung) für die Uber B.V. tätig war. In diesem Sinne ist die Beschwerde der Ausgleichskasse (soweit nicht betreffend die Betriebsstättenfrage gegenstandslos geworden) teilweise gutzuheissen und diejenige der Gegenpartei abzuweisen.</w:t>
      </w:r>
    </w:p>
    <w:p>
      <w:r>
        <w:rPr>
          <w:b/>
        </w:rPr>
        <w:t>E. 6</w:t>
      </w:r>
    </w:p>
    <w:p>
      <w:r>
        <w:t>Zu prüfen bleibt, ob das kantonale Gericht Bundesrecht verletzte, indem es die Angelegenheit an die Verwaltung zurückwies, damit sie den 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 Betreffend die Unkosten sei der Einspracheentscheid (mit einer Festlegung auf 35, eventualiter 70 Rappen pro effektiv mit einem Gast für die Uber B.V. gefahrenem Kilometer) zu bestätigen und die Sache an die Vorinstanz zurückzuweisen, damit sie anhand der Angaben der Uber B.V. die beitragspflichtige Lohnsumme von A.________ festlege. Eventualiter sei die Sache zum Entscheid über die Unkosten bzw. zur verbindlichen Festlegung der Unkostenberechnung und anschliessenden Festsetzung der beitragspflichtigen Lohnsumme unter Abzug der Unkosten an die Vorinstanz zurückzuweisen.</w:t>
      </w:r>
    </w:p>
    <w:p>
      <w:r>
        <w:rPr>
          <w:b/>
        </w:rPr>
        <w:t>E. 6.1</w:t>
      </w:r>
    </w:p>
    <w:p>
      <w:r>
        <w:t>In ihrem Einspracheentscheid vom 3. März 2020 ging die Kasse aufgrund der Steuerunterlagen nicht mehr vom ursprünglich angenommenen Einkommen von Fr. 20'000.00 aus, sondern von einem solchen von Fr. 10'158.20. Die Uber B.V. und die Rasier Operations B.V. bezifferten in ihrer im vorinstanzlichen Verfahren eingereichten Beschwerde die A.________ für seine Tätigkeit im Jahr 2014 ausgerichtete Entschädigung mit Fr. 10'204.80. Davon abweichend ergibt sich aus den Lohndaten, welche die Uber B.V. und die Rasier Operations B.V. der Kasse am 9. September 2022 (d.h. nach dem vorinstanzlichen Urteil) per E-Mail zustellten, für A.________ eine Auszahlung von Fr. 10'347.80 (Fare von Fr. 8'593.00 + Ancillary income von Fr. 3'473.40 - Service fee von Fr. 1'718.60), ohne dass (nachvollziehbare) Gründe für die Differenz genannt worden wären oder ersichtlich sind. Welcher Betrag tatsächlich zutreffend ist, lässt sich aufgrund der vorliegenden Akten nicht feststellen. Es ist nochmals zu betonen, dass die Uber B.V. als Arbeitgeberin verpflichtet ist, der Ausgleichskasse zuverlässige Unterlagen zukommen zu lassen, aus denen sich exakt ergibt, welche Löhne sie ausgerichtet hat (vgl. E. 11.7 des ersten Grundsatzurteils). Sie hat die Kasse vollständig und genau über die A.________ geleisteten Zahlungen zu dokumentieren.</w:t>
      </w:r>
    </w:p>
    <w:p>
      <w:r>
        <w:rPr>
          <w:b/>
        </w:rPr>
        <w:t>E. 6.2</w:t>
      </w:r>
    </w:p>
    <w:p>
      <w:r>
        <w:t>Unklarheit herrscht weiterhin auch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Akten zur Höhe des Lohnes und der Unkosten nicht liquid sind, ist die vorinstanzliche Rückweisung an die Kasse in betraglicher Hinsicht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