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66/2013 vom 1. Juli 2013</w:t>
      </w:r>
    </w:p>
    <w:p>
      <w:r>
        <w:t>Bundesgericht, 2013-07-01, FR</w:t>
      </w:r>
    </w:p>
    <w:p>
      <w:r>
        <w:rPr>
          <w:b/>
        </w:rPr>
        <w:t xml:space="preserve">Quelle: </w:t>
      </w:r>
      <w:r>
        <w:t>https://mcp.opencaselaw.ch/entscheid/bger_9C_66_2013</w:t>
      </w:r>
    </w:p>
    <w:p>
      <w:r>
        <w:t>FR: TF 9C 66/2013 du 1 juillet 2013</w:t>
      </w:r>
    </w:p>
    <w:p>
      <w:r>
        <w:t>IT: TF 9C 66/2013 del 1 luglio 2013</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recours porte sur le droit de l'intimé à une rente entière de l'assurance-invalidité à partir du 1er février 2010, plus particulièrement sur son taux d'invalidité.</w:t>
      </w:r>
    </w:p>
    <w:p>
      <w:r>
        <w:rPr>
          <w:b/>
        </w:rPr>
        <w:t>E. 3.1</w:t>
      </w:r>
    </w:p>
    <w:p>
      <w:r>
        <w:t>L'instance cantonale a reconnu le droit de l'intimé à une telle prestation en se fondant sur le rapport des docteurs S.________ et K.________. Ces médecins s'étaient livrés à une anamnèse complète, tenant compte du dossier médical et des plaintes de l'intéressé, à un examen clinique ainsi qu'à une discussion circonstanciée et leur conclusion selon laquelle l'intimé avait présenté une incapacité de travail totale à compter de juillet 2008, rendue à l'issue d'un consilium, était bien motivée.</w:t>
      </w:r>
    </w:p>
    <w:p>
      <w:r>
        <w:rPr>
          <w:b/>
        </w:rPr>
        <w:t>E. 3.2</w:t>
      </w:r>
    </w:p>
    <w:p>
      <w:r>
        <w:t>Le recourant se plaint en substance d'une constatation manifestement inexacte des faits, consécutive à une mauvaise appréciation des preuves, et de la violation du principe de la libre appréciation des preuves. Il reproche aux premiers juges d'avoir accordé pleine valeur probante au rapport des docteurs S.________ et K.________, alors que celui-ci comporterait des incohérences et des conclusions insuffisamment motivées, et de ne pas avoir exposé les motifs qui les ont conduits à s'écarter de l'opinion émise par les médecins du SMR dans leur rapport du 30 août 2011.</w:t>
      </w:r>
    </w:p>
    <w:p>
      <w:r>
        <w:rPr>
          <w:b/>
        </w:rPr>
        <w:t>E. 4</w:t>
      </w:r>
    </w:p>
    <w:p>
      <w:r>
        <w:t>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 ATF 125 V 351 consid. 3b/aa p. 352 et les références).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et les références).</w:t>
      </w:r>
    </w:p>
    <w:p>
      <w:r>
        <w:rPr>
          <w:b/>
        </w:rPr>
        <w:t>E. 5.1</w:t>
      </w:r>
    </w:p>
    <w:p>
      <w:r>
        <w:t>Au regard des critères jurisprudentiels précités, les premiers juges ne pouvaient pas sans tomber dans l'arbitraire se rallier à la conclusion des docteurs K.________ et S.________ selon laquelle l'intimé avait présenté à partir de juillet 2008 une incapacité de travail totale en raison de nombreuses limitations fonctionnelles (engendrées par des atteintes touchant de multiples articulations, surtout les pieds et les mains, ainsi que par des rachialgies) et d'un état dépressif sévère. Les importantes restrictions retenues par ces médecins en lien avec l'état de santé physique de l'intimé découlent effectivement d'observations cliniques faites à un moment où selon eux la maladie rhumatologique de l'intéressé était dans une phase particulièrement active et il ne ressort pas de leur rapport que de telles limitations auraient existé depuis 2008. Les docteurs K.________ et S.________ ont au contraire relevé que ladite atteinte avait été fluctuante depuis cette année et peu active en 2009. Ils ont en outre précisé qu'une IRM lombaire et du bassin effectuée en janvier 2010 avait été décrite comme sans particularités, que le bilan biologique était alors normal, sans syndrome inflammatoire, et qu'une échographie des mains réalisée à cette époque avait montré uniquement quelques discrètes synovites. Du point de vue psychiatrique, les constatations cliniques des experts, particulièrement succinctes, sont peu affirmatives et étayées pour l'essentiel par les plaintes subjectives de l'intimé; de plus, la discussion du cas consiste presque exclusivement en un résumé - parfois brièvement commenté - d'avis exprimés par d'autres médecins, les docteurs K.________ et S.________ ne se référant à leurs propres constatations que pour retenir - sans la motiver - une aggravation depuis le moment où le SMR a examiné l'intimé et souligner l'importance des limitations fonctionnelles somatiques de l'intéressé. Dans ces conditions, la cause sera renvoyée à l'instance cantonale pour qu'elle procède à une nouvelle expertise puis rende un nouveau jugement.</w:t>
      </w:r>
    </w:p>
    <w:p>
      <w:r>
        <w:rPr>
          <w:b/>
        </w:rPr>
        <w:t>E. 5.2</w:t>
      </w:r>
    </w:p>
    <w:p>
      <w:r>
        <w:t>Il s'ensuit que le recours doit être admis en tant qu'il se fonde sur une constatation manifestement inexacte des faits, ce qui rend superflu l'examen du second grief soulevé par le recourant et tiré de la violation du principe de la libre appréciation des preuves.</w:t>
      </w:r>
    </w:p>
    <w:p>
      <w:r>
        <w:rPr>
          <w:b/>
        </w:rPr>
        <w:t>E. 6</w:t>
      </w:r>
    </w:p>
    <w:p>
      <w:r>
        <w:t>L'intimé,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