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66/2011 vom 4. Oktober 2011</w:t>
      </w:r>
    </w:p>
    <w:p>
      <w:r>
        <w:t>Bundesgericht, 2011-10-04, FR</w:t>
      </w:r>
    </w:p>
    <w:p>
      <w:r>
        <w:rPr>
          <w:b/>
        </w:rPr>
        <w:t xml:space="preserve">Quelle: </w:t>
      </w:r>
      <w:r>
        <w:t>https://mcp.opencaselaw.ch/entscheid/bger_9C_66_2011</w:t>
      </w:r>
    </w:p>
    <w:p>
      <w:r>
        <w:t>FR: TF 9C 66/2011 du 4 octobre 2011</w:t>
      </w:r>
    </w:p>
    <w:p>
      <w:r>
        <w:t>IT: TF 9C 66/2011 del 4 ottobre 2011</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l'assuré à une rente d'invalidité, plus particulièrement sur l'appréciation de sa capacité résiduelle de travail ainsi que sur l'évaluation de son taux d'invalidité.</w:t>
      </w:r>
    </w:p>
    <w:p>
      <w:r>
        <w:rPr>
          <w:b/>
        </w:rPr>
        <w:t>E. 3.1</w:t>
      </w:r>
    </w:p>
    <w:p>
      <w:r>
        <w:t>Le recourant reproche à la juridiction cantonale d'avoir violé son droit droit d'être entendu. Eu égard à la nature formelle de ce droit, dont la violation entraîne l'annulation du jugement entrepris indépendamment des chances de succès du recours sur le fond (à ce sujet cf. notamment ATF 127 V 431 consid. 3d/aa p. 437), il convient d'examiner préalablement ce grief.</w:t>
      </w:r>
    </w:p>
    <w:p>
      <w:r>
        <w:rPr>
          <w:b/>
        </w:rPr>
        <w:t>E. 3.2</w:t>
      </w:r>
    </w:p>
    <w:p>
      <w:r>
        <w:t>L'assuré soutient que les premiers juges auraient dû donner suite à ces requêtes d'instruction supplémentaire tendant, d'une part, à l'audition de témoins qui auraient pu confirmer son incapacité à conserver les positions statiques et effectuer des tâches simples et répétitives et, d'autre part, à l'établissement d'un rapport actualisé par son psychiatre traitant qui aurait pu répondre aux questions non résolues ou laissées ouvertes par le docteur E.________.</w:t>
      </w:r>
    </w:p>
    <w:p>
      <w:r>
        <w:rPr>
          <w:b/>
        </w:rPr>
        <w:t>E. 3.3</w:t>
      </w:r>
    </w:p>
    <w:p>
      <w:r>
        <w:t>La jurisprudence a déduit de l' art. 29 al. 2 Cst. le droit pour chaque partie d'obtenir qu'il soit donné suite à ses offres de preuves pertinentes (cf. notamment ATF 132 V 368 consid. 3.1 p. 370). La disposition constitutionnelle mentionnée ne confère cependant pas au recourant un droit absolu à ce que ses témoins soient auditionnés ni à ce que l'avis de son psychiatre traitant actuel soit requis dans la mesure où l'autorité peut mettre un terme à l'instruction lorsque les preuves administrées lui ont permis de se forger une conviction et que, procédant d'une façon non arbitraire à une appréciation anticipée des preuves qui lui sont encore proposées, elle a la certitude que ces dernières ne pourraient plus l'amener à modifier son opinion (cf. notamment ATF 134 I 140 consid. 5.3 p. 148). Or, il apparaît que la juridiction cantonale a concrètement procédé à une telle appréciation dès lors que, par décision et jugement incidents des 21 mai et 29 septembre 2008, elle a considéré que le dossier médical était suffisamment instruit pour trancher le cas et clairement écarté les critiques de l'assuré contre l'expertise du docteur E.________. On ne voit par conséquent pas - et le recourant ne l'explique pas - en quoi l'audition des deux témoins qui n'ont aucune compétence médicale, ni en quoi l'avis actuel du psychiatre traitant qui diagnostiquait des troubles analogues (trouble dépressif récurrent épisode actuel moyen sans syndrome somatique; trouble de la personnalité sans précision avec traits narcissiques) à ceux retenus par l'expert psychiatre (état dépressif majeur en rémission; personnalité immature à traits caractériels et à fonctionnement passif-dépendant) pourraient modifier cette appréciation ou la feraient paraître arbitraire. Le recours est donc mal fondé sur ce point.</w:t>
      </w:r>
    </w:p>
    <w:p>
      <w:r>
        <w:rPr>
          <w:b/>
        </w:rPr>
        <w:t>E. 4.1</w:t>
      </w:r>
    </w:p>
    <w:p>
      <w:r>
        <w:t>L'assuré reproche aussi aux premiers juges d'avoir procédé à une appréciation arbitraire des preuves dans le sens où les séquelles physiques de l'accident auraient été largement sous-évaluées et les suites psychiques totalement ignorées, ce qui aurait entraîné une surévaluation de sa capacité résiduelle de travail.</w:t>
      </w:r>
    </w:p>
    <w:p>
      <w:r>
        <w:rPr>
          <w:b/>
        </w:rPr>
        <w:t>E. 4.2</w:t>
      </w:r>
    </w:p>
    <w:p>
      <w:r>
        <w:t>Sur le plan somatique, la juridiction cantonale a relevé que le docteur W.________ avait retenu une pleine capacité de travail malgré la subsistance de séquelles orthopédiques importantes et que cette conclusion était partagée par le docteur U.________ et le service médical de l'office intimé. Elle a également constaté que le docteur L.________ n'avait fait état d'aucune péjoration physique de la situation médicale de son patient pouvant justifier une diminution du taux de capacité de travail de 100 à 50 % de 2001 à 2007, que cette diminution était manifestement motivée par des éléments psychiques et que son certificat du 24 février 2009 attestant une incapacité de travail de longue durée n'était pas suffisamment précis pour mettre en doute l'avis concordant des docteurs W.________ et U.________ ainsi que du service médical de l'administration. Elle en a déduit que le recourant disposait d'une pleine capacité de travail dans une activité adaptée. L'argumentation de l'assuré - qui consiste essentiellement à affirmer qu'il ne peut pas rester assis ou debout sur une longue durée, à citer un passage de l'expertise du docteur W.________ énonçant les conséquences prévisibles des séquelles de l'accident ou à qualifier cette expertise de trop optimiste notamment parce qu'elle faisait abstraction de l'aspect psychiatrique du cas - ne saurait remettre en question l'appréciation des premiers juges dès lors qu'elle ne démontre aucunement en quoi ceux-ci se seraient manifestement trompés. Au contraire, il apparaît que la description des conséquences prévisibles des séquelles physiques de l'accident n'a pas empêché le docteur W.________ de conclure à une pleine capacité de travail, que l'influence des troubles psychiatriques sur la capacité de travail du recourant a de toute façon été considérée comme nulle ainsi qu'on va le voir et que les affirmations de l'assuré quant à son incapacité à conserver les positions statiques de manière prolongée ne reposent sur aucun fondement médical.</w:t>
      </w:r>
    </w:p>
    <w:p>
      <w:r>
        <w:rPr>
          <w:b/>
        </w:rPr>
        <w:t>E. 4.3</w:t>
      </w:r>
    </w:p>
    <w:p>
      <w:r>
        <w:t>Sur le plan psychiatrique, la juridiction cantonale a constaté que le rapport du docteur E.________ remplissait les conditions jurisprudentielles pour se voir reconnaître pleine valeur probante et n'était pas remis en cause de manière déterminante par les rapports des autres médecins qui s'étaient exprimés. Elle estimait que les constatations du docteur R.________, bien que succinctes et peu motivées, étaient proches de celles de l'expert psychiatre dans le sens où le premier praticien avait aussi signalé un trouble dépressif et un trouble de la personnalité présent depuis l'adolescence. Elle relevait en outre que les docteurs C.________ et O.________ avaient mentionné la maîtrise thérapeutique des affections. N'ayant dès lors aucune raison de s'écarter des conclusions du docteur E.________, elle a à nouveau retenu une pleine capacité de travail dans une activité adaptée telle que décrite par l'expert. L'argumentation du recourant ne remet pas en question ce qui précède dans la mesure où il semble soutenir que les difficultés rencontrées sur le plan psychique n'ont pas été prises en considération, ce qui de toute évidence n'est pas le cas vu les constatations des premiers juges, ou dans la mesure où les répercussions sur la capacité de travail des difficultés mentionnées avaient été ignorées, ce qui n'est pas non plus le cas vu que le jugement cantonal repose principalement sur les conclusions du docteur E.________ qui n'a nullement ignoré l'influence sur la capacité de travail de l'assuré des troubles psychiques diagnostiqués mais en a seulement exclu l'existence au terme d'une appréciation motivée. Que le recourant ait développé des affections psychiatriques en raison du fait qu'il n'a plus exercé d'activité professionnelle depuis son accident et qu'il a rencontré des difficultés dans sa vie personnelle ne change rien à ce qui précède dès lors que les médecins qui se sont prononcés, en particulier le docteur E.________, connaissaient ces éléments et en ont tenu compte.</w:t>
      </w:r>
    </w:p>
    <w:p>
      <w:r>
        <w:rPr>
          <w:b/>
        </w:rPr>
        <w:t>E. 5.1</w:t>
      </w:r>
    </w:p>
    <w:p>
      <w:r>
        <w:t>L'assuré conteste enfin l'évaluation de son invalidité. Il estime que le montant retenu à titre de revenu sans invalidité doit prendre en considération l'augmentation de 500 fr. consécutive à l'obtention du certificat fédéral de boucher, une prime de 20 fr. par jour pour sa fonction d'inspecteur des viandes ainsi que des montants mensuels de 1'626 fr. 20 pour les heures supplémentaires et de 140 fr. pour les allocations familiales. Il critique également le taux d'abattement du revenu d'invalide de 15 % et considère que les circonstances justifient de le fixer à 25 %.</w:t>
      </w:r>
    </w:p>
    <w:p>
      <w:r>
        <w:rPr>
          <w:b/>
        </w:rPr>
        <w:t>E. 5.2</w:t>
      </w:r>
    </w:p>
    <w:p>
      <w:r>
        <w:t>Contrairement à ce que semble soutenir le recourant, on relèvera que la décision sur opposition litigieuse intègre déjà l'augmentation de salaire de 500 francs. Pour le surplus, il apparaît que les montants de la prime, des heures supplémentaires et des allocations familiales sont des faits nouveaux au sens de l' art. 99 al. 1 LTF qui n'ont pas été allégué devant l'autorité précédente (cf. BERNARD CORBOZ, Commentaire de la LTF, 2009, n° 13 ad art. 99) et dont il n'y a pas lieu de tenir compte (cf. BERNARD CORBOZ, Commentaire de la LTF, 2009, n° 14 ad art. 99). Il en va de même en ce qui concerne le taux d'abattement dès lors que les critères sur lesquels repose la fixation dudit taux (âge, années de service, nationalité/catégorie d'autorisation de séjour et taux d'occupation) sont des faits qui n'ont pas été contesté devant l'instance cantonale et qui ne justifieraient de toute façon pas un abattement plus important selon la jurisprudence (cf. ATF 126 V 75 consid. 5b/aa-cc p. 79; en l'occurrence, âge: 43 ans au moment de la décision litigieuse; deux ans de service auprès du dernier employeur; nationalité: suisse; taux d'occupation: 100 %).</w:t>
      </w:r>
    </w:p>
    <w:p>
      <w:r>
        <w:rPr>
          <w:b/>
        </w:rPr>
        <w:t>E. 6</w:t>
      </w:r>
    </w:p>
    <w:p>
      <w:r>
        <w:t>Vu l'issue du litige, les frais judiciaires sont mis à la charge de l'assuré ( art. 66 al. 1 LTF ) qui ne peut prétendre des dépens ( art. 68 al. 1 LTF ). L'assistance judiciaire lui est toutefois octroyée dès lors que les conditions auxquelles l' art. 64 al. 1 et 2 LTF subordonne son attribution sont réalisées. Le recourant est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