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66/2010 vom 22. März 2010</w:t>
      </w:r>
    </w:p>
    <w:p>
      <w:r>
        <w:t>Bundesgericht, 2010-03-22, DE</w:t>
      </w:r>
    </w:p>
    <w:p>
      <w:r>
        <w:rPr>
          <w:b/>
        </w:rPr>
        <w:t xml:space="preserve">Quelle: </w:t>
      </w:r>
      <w:r>
        <w:t>https://mcp.opencaselaw.ch/entscheid/bger_9C_66_2010</w:t>
      </w:r>
    </w:p>
    <w:p>
      <w:r>
        <w:t>FR: TF 9C 66/2010 du 22 mars 2010</w:t>
      </w:r>
    </w:p>
    <w:p>
      <w:r>
        <w:t>IT: TF 9C 66/2010 del 22 marzo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Das kantonale Gericht hat die Bestimmungen und Grundsätze über die Voraussetzungen und den Umfang des Rentenanspruchs ( Art. 28 Abs. 2 IVG ) sowie die Invaliditätsbemessung nach der allgemeinen Methode des Einkommensvergleichs ( Art. 16 ATSG ) zutreffend dargelegt. Ebenfalls richtig sind die Ausführungen zum Beweiswert ärztlicher Berichte und Gutachten und zur Beweiswürdigung ( BGE 125 V 351 E. 3 S. 352 ff.; 122 V 157 E. 1c S. 160 ff., je mit Hinweisen; vgl. auch BGE 132 V 393 E. 4.1 S. 400). Darauf wird verwiesen.</w:t>
      </w:r>
    </w:p>
    <w:p>
      <w:r>
        <w:rPr>
          <w:b/>
        </w:rPr>
        <w:t>E. 3</w:t>
      </w:r>
    </w:p>
    <w:p>
      <w:r>
        <w:t>Streitig und zu prüfen ist der Anspruch des Versicherten auf eine Invalidenrente. Dabei steht insbesondere in Frage, ob Vorinstanz und Verwaltung bei der Beurteilung der Arbeitsfähigkeit zu Recht auf das Gutachten des medizinischen Zentrums X.________ vom 22. Dezember 2007 abgestellt haben. Dieses Gutachten erfüllt die von der Rechtsprechung gestellten Anforderungen an ein ärztliches Gutachten (vgl. E. 2 hievor). Die darauf gestützten vorinstanzlichen Feststellungen und Würdigungen sind weder offensichtlich unrichtig noch verletzen sie Bundesrecht. Vielmehr hat sich die Vorinstanz mit den abweichenden ärztlichen Stellungnahmen, auf die sich der Beschwerdeführer stützt, ausführlich und auf nachvollziehbare Weise auseinandergesetzt. Dabei ergibt sich auch dann kein rentenbegründender Invaliditätsgrad, wenn man mit dem Beschwerdeführer davon ausgeht, die Vorinstanz hätte sich auf den Austrittsbericht der Rehaklinik Z.________ vom 18. Januar 2006 und das Gutachten des medizinischen Instituts Y.________ vom 10. März 2009 stützen müssen. Während der Austrittsbericht der Rehaklinik Z.________ die Arbeitsunfähigkeit von 50 % vor allem mit einer leichten neuropsychologischen Störung und dem stark depressiv gefärbten Zustandsbild, diagnostisch am ehesten mit einer Dysthymie begründet, diagnostiziert das medizinische Institut Y.________ neben den chronischen Kopfschmerzen eine anhaltende affektive Störung gemäss ICD-10 F 34.8. Aufgrund dieser Diagnosen hält die Vorinstanz zu Recht fest, es sei nicht einleuchtend, weshalb das Gutachten des medizinischen Instituts Y.________ aus neurologischer Sicht trotz fehlender objektiver Befunde eine Arbeitsunfähigkeit von 20 % attestiere und aus welchem Grund aus psychiatrischer Sicht eine solche von 50 % angenommen werde. Der Beschwerdeführer versucht lediglich, trotz dieser klaren Erkenntnisse und zutreffenden Schlussfolgerungen, sowohl die neurologische wie auch die psychiatrische Arbeitsunfähigkeit damit zu begründen, die Vorinstanz habe in aktenwidriger und somit willkürlicher Weise sowie in Verletzung seines rechtlichen Gehörs die zentrale Aussage des Gutachters übersehen, wonach die Arbeitsfähigkeit wegen der Kopfschmerzen eingeschränkt sei. Damit stützt er sich aber nicht im Geringsten auf medizinisch oder juristisch fundierte Argumente. Der angefochtene Entscheid, auf welchen verwiesen wird, beruht somit weder auf einer offensichtlich unrichtigen noch unvollständigen Feststellung des rechtserheblichen Sachverhalts, noch verstösst er sonstwie gegen Bundesrecht.</w:t>
      </w:r>
    </w:p>
    <w:p>
      <w:r>
        <w:rPr>
          <w:b/>
        </w:rPr>
        <w:t>E. 4</w:t>
      </w:r>
    </w:p>
    <w:p>
      <w:r>
        <w:t>Der Beschwerdeführer beantragt ferner, die Beschwerdegegnerin sei zu verpflichten, ihm die Kosten des Privatgutachtens des medizinischen Instituts Y.________ von Fr. 12'374.- zu ersetzen. Das kantonale Gericht hat zutreffend festgestellt, dass das Gutachten des medizinischen Zentrums X.________ sämtliche Kriterien eines beweiskräftigen Gutachtens erfüllt, sodass kein Anspruch des Beschwerdeführers auf Vergütung der Kosten des durch das medizinische Institut Y.________ erstellten Gutachtens besteht. Auch in dieser Hinsicht hat die Vorinstanz weder den rechtserheblichen Sachverhalt offensichtlich unrichtig festgestellt noch hat sie Bundesrecht verletzt.</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