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9C_669/2020 vom 4. November 2020</w:t>
      </w:r>
    </w:p>
    <w:p>
      <w:r>
        <w:t>Bundesgericht, 2020-11-04, DE</w:t>
      </w:r>
    </w:p>
    <w:p>
      <w:r>
        <w:rPr>
          <w:b/>
        </w:rPr>
        <w:t xml:space="preserve">Quelle: </w:t>
      </w:r>
      <w:r>
        <w:t>https://mcp.opencaselaw.ch/entscheid/bger_9C_669_2020</w:t>
      </w:r>
    </w:p>
    <w:p>
      <w:r>
        <w:t>FR: TF 9C_669/2020 du 4 novembre 2020</w:t>
      </w:r>
    </w:p>
    <w:p>
      <w:r>
        <w:t>IT: TF 9C_669/2020 del 4 novembre 2020</w:t>
      </w:r>
    </w:p>
    <w:p>
      <w:pPr>
        <w:pStyle w:val="Heading2"/>
      </w:pPr>
      <w:r>
        <w:t>Volltext</w:t>
      </w:r>
    </w:p>
    <w:p>
      <w:r>
        <w:t>Bundesgericht</w:t>
      </w:r>
    </w:p>
    <w:p>
      <w:r>
        <w:t>Tribunal fédéral</w:t>
      </w:r>
    </w:p>
    <w:p>
      <w:r>
        <w:t>Tribunale federale</w:t>
      </w:r>
    </w:p>
    <w:p>
      <w:r>
        <w:t>Tribunal federal</w:t>
      </w:r>
    </w:p>
    <w:p>
      <w:r>
        <w:t>9C_669/2020</w:t>
      </w:r>
    </w:p>
    <w:p>
      <w:r>
        <w:t>Urteil vom 4. November 2020</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w:t>
      </w:r>
    </w:p>
    <w:p>
      <w:r>
        <w:t>Beschwerde gegen den Entscheid des Verwaltungsgerichts des Kantons Bern vom 18. September 2020 (200 20 386 EL).</w:t>
      </w:r>
    </w:p>
    <w:p>
      <w:r>
        <w:t>Nach Einsicht</w:t>
      </w:r>
    </w:p>
    <w:p>
      <w:r>
        <w:t>in die Beschwerde vom 23. Oktober 2020 gegen den Entscheid des Verwaltungsgerichts des Kantons Bern vom 18.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w:t>
      </w:r>
    </w:p>
    <w:p>
      <w:r>
        <w:t>dass die Eingabe vom 23. Oktober 2020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w:t>
      </w:r>
    </w:p>
    <w:p>
      <w:r>
        <w:t>dass dies insbesondere der Fall ist in Bezug auf die Erwägungen des kantonalen Gerichts, wonach der Beschwerdeführer ohne adäquaten Gegenwert auf das Wohnrecht verzichtet habe und namentlich die behaupteten Zahlungen von insgesamt Fr. 495'000.- nicht in Zusammenhang mit der Löschung des Wohnrechts stünden,</w:t>
      </w:r>
    </w:p>
    <w:p>
      <w:r>
        <w:t>dass nichts anderes gilt in Bezug auf die vorinstanzlichen Erwägungen, wonach der vereinbarte Mietzins zum einen offensichtlich übersetzt und missbräuchlich und zum anderen vom Beschwerdeführer überwiegend wahrscheinlich gar nicht bezahlt werde,</w:t>
      </w:r>
    </w:p>
    <w:p>
      <w:r>
        <w:t>dass sich die Vorbringen des Beschwerdeführers darauf beschränken, die eigene Sichtweise wiederzugeben sowie rein appellatorische Kritik zu üben, was nach dem Dargelegten im bundesgerichtlichen Verfahren nicht ausreicht,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4. November 2020</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