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9C_669/2017 vom 7. Dezember 2017</w:t>
      </w:r>
    </w:p>
    <w:p>
      <w:r>
        <w:t>Bundesgericht, 2017-12-07, FR</w:t>
      </w:r>
    </w:p>
    <w:p>
      <w:r>
        <w:rPr>
          <w:b/>
        </w:rPr>
        <w:t xml:space="preserve">Quelle: </w:t>
      </w:r>
      <w:r>
        <w:t>https://mcp.opencaselaw.ch/entscheid/bger_9C_669_2017</w:t>
      </w:r>
    </w:p>
    <w:p>
      <w:r>
        <w:t>FR: TF 9C_669/2017 du 7 décembre 2017</w:t>
      </w:r>
    </w:p>
    <w:p>
      <w:r>
        <w:t>IT: TF 9C_669/2017 del 7 dicembre 2017</w:t>
      </w:r>
    </w:p>
    <w:p>
      <w:pPr>
        <w:pStyle w:val="Heading2"/>
      </w:pPr>
      <w:r>
        <w:t>Erwägungen</w:t>
      </w:r>
    </w:p>
    <w:p>
      <w:r>
        <w:rPr>
          <w:b/>
        </w:rPr>
        <w:t>E. 1</w:t>
      </w:r>
    </w:p>
    <w:p>
      <w:r>
        <w:t>Le Tribunal fédéral examine d'office la recevabilité des recours qui lui sont soumis ( ATF 141 II 113 consid. 1 p. 116; 141 III 395 consid. 2.1 p. 397).</w:t>
      </w:r>
    </w:p>
    <w:p>
      <w:r>
        <w:rPr>
          <w:b/>
        </w:rPr>
        <w:t>E. 2.1</w:t>
      </w:r>
    </w:p>
    <w:p>
      <w:r>
        <w:t>Le jugement incident attaqué s'inscrit dans un litige portant sur une demande de reconnaissance d'équivalence d'une formation postgraduée de chef de laboratoire médical ( art. 54 al. 3 let. b OAMal , 42 al. 3 et 43 OPAS, 6 al. 3 OAGH).</w:t>
      </w:r>
    </w:p>
    <w:p>
      <w:r>
        <w:t>Selon l' art. 93 al. 1 LTF , une décision préjudicielle ou incidente peut être entreprise immédiatement si elle peut causer un préjudice irréparable (let. a) ou si l'admission du recours peut conduire immédiatement à une décision finale qui permet d'éviter une procédure probatoire longue et coûteuse (let. b).</w:t>
      </w:r>
    </w:p>
    <w:p>
      <w:r>
        <w:t>L'ouverture du recours, prévue pour des motifs d'économie de procédure ( art. 93 al. 1 let. b LTF ), contre une décision incidente doit être interprétée de manière restrictive ( ATF 133 IV 288 consid. 3.2 p. 292). Le Tribunal fédéral examine librement le point de savoir si l'admission du recours permettrait d'éviter une procédure d'administration des preuves longue et coûteuse ( ATF 134 II 142 consid. 1.2.3 p. 144).</w:t>
      </w:r>
    </w:p>
    <w:p>
      <w:r>
        <w:rPr>
          <w:b/>
        </w:rPr>
        <w:t>E. 2.2</w:t>
      </w:r>
    </w:p>
    <w:p>
      <w:r>
        <w:t>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Par ailleurs, le texte légal prend en compte les seuls délais et coûts de la procédure probatoire, à l'exclusion des autres motifs de retard dans la marche du procès; il ne suffit donc pas que la cause implique des recherches juridiques fastidieuses, ou qu'elle soit propre à entraîner la rédaction de longues écritures (arrêt 8C_691/2016 du 30 novembre 2016 consid. 4.1 et les références).</w:t>
      </w:r>
    </w:p>
    <w:p>
      <w:r>
        <w:t>Le Tribunal fédéral a par exemple admis qu'une décision de renvoi pouvait faire l'objet d'un recours immédiat lorsque, pour établir l'existence du dommage allégué, il n'était pas exclu qu'une expertise médicale soit nécessaire, de même que l'audition de certains témoins résidant à l'étranger. L'établissement des faits pertinents s'avérait, en outre, difficile en raison de l'éloignement du demandeur à l'étranger et de l'écoulement du temps entre la blessure de l'intéressé et l'instruction du dossier (arrêt 2C_111/2011 du 7 juillet 2011 consid. 1.1.3, in SJ 2012 I p. 97). De même, le Tribunal fédéral a considéré que l'audition d'une dizaine de témoins, l'interrogatoire des parties et la mise en oeuvre d'une expertise judiciaire, eu égard au nombre de personnes impliquées, à la complexité de la situation de fait et de droit et à l'existence d'une procédure pénale parallèle de grande ampleur, constituaient des mesures probatoires de nature à "renchérir[...] et rallonger[...] indubitablement la procédure probatoire au point de justifier le recours immédiat au Tribunal fédéral" (arrêt 4A_210/2010 du 1</w:t>
      </w:r>
    </w:p>
    <w:p>
      <w:r>
        <w:t>er octobre 2010 consid. 3.3.2.1, non publié in ATF 136 III 502 ).</w:t>
      </w:r>
    </w:p>
    <w:p>
      <w:r>
        <w:rPr>
          <w:b/>
        </w:rPr>
        <w:t>E. 3.1</w:t>
      </w:r>
    </w:p>
    <w:p>
      <w:r>
        <w:t>Le Tribunal administratif fédéral a admis, entre autres motifs, que le recourant se devait d'examiner l'équivalence du titre italien de l'intimée non seulement avec le titre pluridisciplinaire, mais aussi avec tous les titres monodisciplinaires, actuellement et anciennement délivrés. La demande de reconnaissance d'un titre pluridisciplinaire ne limitait pas l'obligation de l'autorité inférieure de contrôler l'équivalence avec tous ces titres; le cas échéant, elle aurait dû demander à l'intimée de quel (s) titre (s) suisse (s) exactement elle demandait l'équivalence.</w:t>
      </w:r>
    </w:p>
    <w:p>
      <w:r>
        <w:rPr>
          <w:b/>
        </w:rPr>
        <w:t>E. 3.2</w:t>
      </w:r>
    </w:p>
    <w:p>
      <w:r>
        <w:t>Le recourant relève que l'arrêt de renvoi attaqué constitue une décision incidente susceptible d'entraîner une procédure probatoire longue et coûteuse, laquelle peut être évitée par l'admission du recours et une décision finale immédiate (cf. art. 93 al. 1 let. b LTF ).</w:t>
      </w:r>
    </w:p>
    <w:p>
      <w:r>
        <w:t>Cela exposé, le recourant se prévaut d'une constatation inexacte des faits et de diverses violations du droit fédéral, singulièrement de l'ALCP en relation avec la LAMal, de l'OAMal et de l'OPAS, et d'arbitraire, notamment. Abordant le fond du litige qui l'oppose à l'intimée, en particulier les conditions auxquelles l'équivalence d'une formation postgraduée étrangère peut être reconnue, le recourant conteste le point de vue du Tribunal administratif fédéral en ce qui concerne les mesures de compensation (consid. 13.3 ss du jugement). A son avis, la directive 2005/36/CE n'est pas directement applicable (self-executing), de sorte que les mesures de compensation ne peuvent être prises en compte que si le droit interne le prévoit, ce qui n'est pas le cas de la législation suisse sur l'assurance-maladie. Il soutient aussi que la durée des formations suivies par l'intimée dans chaque branche de laboratoire n'atteint pas celle qui est requise en Suisse, si bien qu'il n'est pas question d'envisager sérieusement une reconnaissance.</w:t>
      </w:r>
    </w:p>
    <w:p>
      <w:r>
        <w:rPr>
          <w:b/>
        </w:rPr>
        <w:t>E. 3.3</w:t>
      </w:r>
    </w:p>
    <w:p>
      <w:r>
        <w:t>En l'espèce, la première condition prévue à l' art. 93 al. 1 let. b LTF (consid. 2.1 supra) est manifestement réalisée, puisque si le Tribunal fédéral parvenait à la solution inverse de celle retenue par le Tribunal administratif fédéral et confirmait la décision du 29 avril 2015, l'intimée serait éconduite d'instance, ce qui mettrait fin définitivement à la procédure (cf. ATF 133 III 629 consid. 2.4.1 p. 633).</w:t>
      </w:r>
    </w:p>
    <w:p>
      <w:r>
        <w:t>En ce qui concerne la seconde condition de l' art. 93 al. 1 let. b LTF (consid. 2.1 et 2.2 supra), le recourant n'établit pas, comme cela le lui incombe, que l'instruction qu'il devra reprendre à teneur de l'arrêt attaqué engendrera une procédure probatoire longue et coûteuse, c'est-à-dire que la procédure probatoire, par sa durée et son coût, s'écartera notablement des procès habituels. Il relève uniquement que la procédure a duré plus de 26 mois depuis le dépôt du dossier constituant la demande de reconnaissance d'équivalence de la formation postgraduée de l'intimée auprès de l'Office fédéral de la santé publique jusqu'au moment où il a rendu sa décision, mais cela ne permet pas pour autant de se faire une idée quant à la durée et au coût des mesures qui devront être entreprises.</w:t>
      </w:r>
    </w:p>
    <w:p>
      <w:r>
        <w:t>Le recourant aborde le fond du litige (la reconnaissance d'équivalence pour une formation postgraduée) au lieu de discuter la question de la durée et des coûts de la procédure probatoire. Comme il n'appartient pas au Tribunal fédéral de compléter son argumentation et que l'éventualité d'une procédure probatoire longue et coûteuse n'apparaît pas manifeste dans le cas d'espèce (cf. BERNARD CORBOZ, Commentaire de la LTF, 2e éd., n. 35 ad art. 93), le recours immédiat n'est pas ouvert pour ce seul motif, sans qu'il soit préalablement nécessaire de trancher la question du caractère directement applicable (self-executing) de la directive 2005/36/CE. De surcroît, l'issue du litige paraît incertaine.</w:t>
      </w:r>
    </w:p>
    <w:p>
      <w:r>
        <w:t>Quant à la conclusion subsidiaire du recourant, elle est nouvelle et, partant, également irrecevable ( art. 99 al. 2 LTF ). Au surplus, seul l'arrêt du Tribunal administratif fédéral constitue l'objet de la contestation ( art. 75 al. 1 LTF ).</w:t>
      </w:r>
    </w:p>
    <w:p>
      <w:r>
        <w:rPr>
          <w:b/>
        </w:rPr>
        <w:t>E. 4</w:t>
      </w:r>
    </w:p>
    <w:p>
      <w:r>
        <w:t>Le présent arrêt est rendu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