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665/2011 vom 21. November 2011</w:t>
      </w:r>
    </w:p>
    <w:p>
      <w:r>
        <w:t>Bundesgericht, 2011-11-21, DE</w:t>
      </w:r>
    </w:p>
    <w:p>
      <w:r>
        <w:rPr>
          <w:b/>
        </w:rPr>
        <w:t xml:space="preserve">Quelle: </w:t>
      </w:r>
      <w:r>
        <w:t>https://mcp.opencaselaw.ch/entscheid/bger_9C_665_2011</w:t>
      </w:r>
    </w:p>
    <w:p>
      <w:r>
        <w:t>FR: TF 9C 665/2011 du 21 novembre 2011</w:t>
      </w:r>
    </w:p>
    <w:p>
      <w:r>
        <w:t>IT: TF 9C 665/2011 del 21 novembre 2011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nach eingehender und nachvollziehbarer Würdigung der diversen Berichte des Schweizer Zentrums Z.________ und des interdisziplinären Gutachtens der MEDAS vom 17. Juli 2008 diesem Beweiskraft beigemessen und gestützt darauf eine Einschränkung der Arbeitsfähigkeit um 20 % festgestellt.</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2.3</w:t>
      </w:r>
    </w:p>
    <w:p>
      <w:r>
        <w:t>Was die Beschwerdeführerin gegen die vorinstanzliche Beweiswürdigung vorbringt, hält nicht stand: Durch MEDAS (vgl. Art. 59 Abs. 3 IVG ) erstellte Gutachten gelten unter den Aspekten der Unabhängigkeit und Objektivität grundsätzlich als beweiskräftig ( BGE 137 V 210 E. 2.1-2.3 S. 229 ff.; 136 V 376 E. 4 S. 377 ff.), und konkrete Anhaltspunkte für eine Befangenheit der Gutachter wurden nicht geltend gemacht. Das MEDAS-Gutachten genügt auch den materiellen bundesrechtlichen Anforderungen an die Beweiskraft ( BGE 134 V 231 E. 5.1 S. 232; 125 V 351 E. 3a S. 352 mit Hinweis), zumal es auf eingehender Untersuchung der Beschwerdeführerin beruht und die - fachärztlich qualifizierten - Experten sich ausführlich und einleuchtend mit der Notwendigkeit hygienischer und therapeutischer Massnahmen auseinandersetzten und zudem den Aufwand für das regelmässig durchgeführte Sporttraining berücksichtigten. Schliesslich unterzieht sich die Versicherte nicht nur regelmässigen Kontrollen beim Schweizer Zentrum Z.________, sondern wurde sie dort auch stationär behandelt. Bei der Beweiswürdigung ist daher auch der Verschiedenheit von Behandlungs- und Begutachtungsauftrag Rechnung zu tragen ( BGE 125 V 351 E. 3b/cc S. 353; Urteile 8C_740/2010 vom 29. September 2011 E. 6; 9C_842/2009 vom 17. November 2009 E. 2.2). Ohnehin beschränkt sich die Beschwerdeführerin im Wesentlichen lediglich darauf, die Beweise abweichend von der Vorinstanz zu würdigen und daraus andere Schlüsse zu ziehen, was nicht genügt (Urteile 9C_688/2007 vom 22. Januar 2008 E. 2.3 und 4A_28/2007 vom 30. Mai 2007 E. 1.3 [in BGE 133 III 421 nicht publiziert]).</w:t>
      </w:r>
    </w:p>
    <w:p>
      <w:r>
        <w:rPr>
          <w:b/>
        </w:rPr>
        <w:t>E. 2.4</w:t>
      </w:r>
    </w:p>
    <w:p>
      <w:r>
        <w:t>Nach dem Gesagten sind die vorinstanzliche Beweiswürdigung und Sachverhaltsfeststellung nicht offensichtlich unrichtig und beruhen auch nicht auf einer Rechtsverletzung. Sie sind daher für das Bundesgericht verbindlich (E. 1). Das kantonale Gericht hat folglich zu Recht einen Rentenanspruch mangels eines genügenden Invaliditätsgrades (vgl. Art. 28 IVG ) verneint. Im Übrigen hätte das Abstellen auf den Bericht des Schweizer Zentrums Z.________ vom 7. April 2009, worin schliesslich eine Arbeitsfähigkeit von 70 % attestiert wurde, zum gleichen Ergebnis geführt: Es fehlt an der erforderlichen durchschnittlichen Arbeitsunfähigkeit von mindestens 40 % ( Art. 28 Abs. 1 lit. b IVG resp. Art. 29 Abs. 1 lit. b IVG in der bis 31. Dezember 2007 geltenden Fassung).</w:t>
      </w:r>
    </w:p>
    <w:p>
      <w:r>
        <w:rPr>
          <w:b/>
        </w:rPr>
        <w:t>E. 3.1</w:t>
      </w:r>
    </w:p>
    <w:p>
      <w:r>
        <w:t>Die Beschwerde ist offensichtlich unbegründet und wird im vereinfachten Verfahren nach Art. 109 Abs. 2 lit. a und Abs. 3 BGG erledigt.</w:t>
      </w:r>
    </w:p>
    <w:p>
      <w:r>
        <w:rPr>
          <w:b/>
        </w:rPr>
        <w:t>E. 3.2</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