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9C_664/2021 vom 17. Januar 2022</w:t>
      </w:r>
    </w:p>
    <w:p>
      <w:r>
        <w:t>Bundesgericht, 2022-01-17, DE</w:t>
      </w:r>
    </w:p>
    <w:p>
      <w:r>
        <w:rPr>
          <w:b/>
        </w:rPr>
        <w:t xml:space="preserve">Quelle: </w:t>
      </w:r>
      <w:r>
        <w:t>https://mcp.opencaselaw.ch/entscheid/bger_9C_664_2021</w:t>
      </w:r>
    </w:p>
    <w:p>
      <w:r>
        <w:t>FR: TF 9C_664/2021 du 17 janvier 2022</w:t>
      </w:r>
    </w:p>
    <w:p>
      <w:r>
        <w:t>IT: TF 9C_664/2021 del 17 gennaio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9C_664/2021</w:t>
      </w:r>
    </w:p>
    <w:p>
      <w:r>
        <w:t>Urteil vom 17. Januar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Stanger.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KPT Krankenkasse AG,</w:t>
      </w:r>
    </w:p>
    <w:p>
      <w:r>
        <w:t>Wankdorfallee 3, 3014 Bern,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das Urteil des Kantonsgerichts Luzern vom 16. November 2021 (5V 21 131).</w:t>
      </w:r>
    </w:p>
    <w:p>
      <w:r>
        <w:t>Nach Einsicht</w:t>
      </w:r>
    </w:p>
    <w:p>
      <w:r>
        <w:t>in die Beschwerde vom 20. Dezember 2021 (Poststempel) gegen das Urteil des Kantonsgerichts Luzern vom 16. November 2021,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Urteils massgeblichen Erwägungen der Vorinstanz einzugehen und im Einzelnen aufzuzeigen ist, worin eine Verletzung von Bundesrecht liegt ( BGE 140 III 86 E. 2; 134 V 53 E. 3.3),</w:t>
      </w:r>
    </w:p>
    <w:p>
      <w:r>
        <w:t>dass die Beschwerde diesen inhaltlichen Mindestanforderungen offensichtlich nicht genügt, da ihr auch nicht ansatzweise entnommen werden kann, inwiefern die vorinstanzlichen Sachverhaltsfeststellungen im Sinne von Art. 97 Abs. 1 BGG qualifiziert unzutreffend und die darauf beruhenden Erwägungen rechtsfehlerhaft (vgl. Art. 95 BGG ) sein sollen,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 und dem Bundesamt für Gesundheit schriftlich mitgeteilt.</w:t>
      </w:r>
    </w:p>
    <w:p>
      <w:r>
        <w:t>Luzern, 17. Januar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