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9C_663/2018 vom 12. Februar 2019</w:t>
      </w:r>
    </w:p>
    <w:p>
      <w:r>
        <w:t>Bundesgericht, 2019-02-12, DE</w:t>
      </w:r>
    </w:p>
    <w:p>
      <w:r>
        <w:rPr>
          <w:b/>
        </w:rPr>
        <w:t xml:space="preserve">Quelle: </w:t>
      </w:r>
      <w:r>
        <w:t>https://mcp.opencaselaw.ch/entscheid/bger_9C_663_2018</w:t>
      </w:r>
    </w:p>
    <w:p>
      <w:r>
        <w:t>FR: TF 9C_663/2018 du 12 février 2019</w:t>
      </w:r>
    </w:p>
    <w:p>
      <w:r>
        <w:t>IT: TF 9C_663/2018 del 12 febbraio 2019</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und 4 S. 397 ff.; SVR 2014 IV Nr. 1 S. 1, 9C_228/2013 E. 1.2; 2014 IV Nr. 20 S. 72, 9C_460/2013 E. 1.3).</w:t>
      </w:r>
    </w:p>
    <w:p>
      <w:r>
        <w:rPr>
          <w:b/>
        </w:rPr>
        <w:t>E. 2</w:t>
      </w:r>
    </w:p>
    <w:p>
      <w:r>
        <w:t>Das kantonale Gericht hat die für die Beurteilung der Streitsache massgebenden Rechtsgrundlagen zutreffend wiedergegeben, worauf verwiesen wird ( Art. 109 Abs. 3 BGG ).</w:t>
      </w:r>
    </w:p>
    <w:p>
      <w:r>
        <w:rPr>
          <w:b/>
        </w:rPr>
        <w:t>E. 3</w:t>
      </w:r>
    </w:p>
    <w:p>
      <w:r>
        <w:t>Das Verwaltungsgericht stellte im Wesentlichen fest, die laufende Rente sei zuletzt mit (rechtskräftigen) Verfügungen vom 18. und 26. November 2014 revidiert worden. Darin sei - aufgrund onkologischer Beschwerden - vorübergehend ab 1. Februar 2014 eine ganze Rente gewährt worden, die ab 1. Oktober 2014 wiederum auf eine halbe Rente (basierend hauptsächlich auf der ursprünglichen, ophthalmologisch begründeten 50%igen Arbeitsunfähigkeit) reduziert worden sei. In Würdigung der medizinischen Aktenlage erkannte das kantonale Gericht, nach dem massgebenden Beweisgrad der überwiegenden Wahrscheinlichkeit sei zwischen dem Referenzzeitpunkt im November 2014 und der angefochtenen Verfügung vom 13. Dezember 2017 keine relevante Verschlechterung des Gesundheitszustandes eingetreten. Mit einem neu entdeckten Prostatakarzinom sowie einer Sicca-Symptomatik (Augentrockenheit) und eines Katarakts seien zwar neue diagnostische Aspekte hinzugetreten. Diese würden den Rentenanspruch jedoch nicht berühren. Insbesondere im Zusammenhang mit dem "grauen Star" (Katarakt) bzw. der damit einhergehenden Visusminderung habe der behandelnde Augenarzt Dr. med. B.________ in seinem Bericht vom 7. Dezember 2017 keine Arbeitsunfähigkeit bescheinigt. Eine solche sei erst nach einer Augenoperation vom 21. Februar 2018 seitens des Spitals C.________ attestiert worden und mithin für das laufende Beschwerdeverfahren irrelevant. Im Übrigen führe - selbst bei Annahme eines medizinischen Revisionsgrundes - der unveränderte Beschäftigungsgrad des Beschwerdeführers von 50 % in derselben gehaltsmässigen Einreihung wie vor dem Invaliditätseintritt (wobei es sich gemäss Arbeitgeberbericht um einen Leistungslohn handle) zu einem Invaliditätsgrad von weiterhin 50 %. Die IV-Stelle habe demnach zu Recht den Anspruch auf eine höhere als die laufende halbe Invalidenrente verneint.</w:t>
      </w:r>
    </w:p>
    <w:p>
      <w:r>
        <w:rPr>
          <w:b/>
        </w:rPr>
        <w:t>E. 4</w:t>
      </w:r>
    </w:p>
    <w:p>
      <w:r>
        <w:t>Der Beschwerdeführer bringt hauptsächlich vor, Ende Oktober 2017 eine wesentliche Verschlechterung der Sehfähigkeit beider Augen bemerkt und am 8. November 2017 einen Kontrolltermin bei seinem Augenarzt Dr. med. B.________ wahrgenommen zu haben. Dieser habe beidseits einen Katarakt festgestellt; beim rechten Auge fortgeschritten, beim linken beginnend. Anlässlich einer Konsultation in der Augenklinik D.________ im Dezember 2017 habe sich am rechten Auge ein weit fortgeschrittener Katarakt ergeben. Zu diesem Zeitpunkt sei der Versicherte sozusagen blind gewesen. Es habe demnach ein verschlechterter und labiler Gesundheitszustand vorgelegen. Im Übrigen schildert der Beschwerdeführer die seit Februar 2018 in Anspruch genommenen ophthalmologischen Behandlungen, die Umstände an seinem Arbeitsplatz sowie den Verlauf seiner übrigen Erkrankungen und Beschwerden.</w:t>
      </w:r>
    </w:p>
    <w:p>
      <w:r>
        <w:t>Es kann offen bleiben, ob - entgegen den Feststellungen der Vorinstanz - bereits im November 2017 beidseits ein Katarakt festgestellt worden ist, wie der Beschwerdeführer vorbringt. Im Bericht von Dr. med. B.________ vom 7. Dezember 2017 steht: "Linsen rechts mit diskret beginnender Cataract, links +/- klar". Allein dieser Befund vermag die Würdigung der Vorinstanz betreffend die Einschränkung der Arbeitsfähigkeit aus ophthalmologischen Gründen (dortige Erwägung 3.5.3) nicht als bundesrechtswidrig erscheinen zu lassen. Die übrigen Ausführungen des Beschwerdeführers beziehen sich weitgehend auf die - mit der Vorinstanz im vorliegenden Verfahren grundsätzlich nicht massgebliche (zum Abstellen des Sozialversicherungsgerichts auf den bis zum Zeitpunkt des Erlasses der streitigen Verfügung eingetretenen Sachverhalt vgl. etwa BGE 132 V 215 E. 3.1.1 S. 220 mit Hinweis) - gesundheitliche Entwicklung nach Erlass der angefochtenen Verfügung vom 13. Dezember 2017, wozu sich Weiterungen erübrigen. Die Kritik des Versicherten an der vorinstanzlichen Feststellung eines nicht in relevanter Weise veränderten Gesundheitszustandes sowie einer unveränderten Arbeitsfähigkeit im Zeitpunkt der angefochtenen Verfügung (E. 3 hievor) beschränkt sich schliesslich auf eine Darstellung seiner eigenen Sicht der Dinge, die indes in keiner Weise belegt ist. Dies gilt insbesondere für die Behauptung, wonach die Arbeitsleistung bereits seit November 2017 durch die Arbeitgeberin "angezweifelt" werde, mithin - entgegen deren Bescheinigung eines Leistungslohns noch am 10. August 2017 - der erzielte Lohn allenfalls nicht (mehr) der Arbeitsleistung entspreche, ebenso wie für diejenige einer massgeblichen Verschlechterung der ophthalmologischen Befunde. Insgesamt zeigt der Beschwerdeführer damit nicht auf, inwieweit die Vorinstanz den rechtserheblichen Sachverhalt offensichtlich unrichtig - und damit der bundesgerichtlichen Korrektur zugänglich (vgl. oben E. 1.1 und 1.2) - festgestellt haben soll. Ob und inwiefern seine Vorbringen zudem neu und damit zum vorneherein unzulässig ( Art. 99 Abs. 1 BGG ) sind, kann nach dem Gesagten offen bleiben.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t>Dem Versicherten bleibt es selbstredend unbenommen, aufgrund nach dem 13. Dezember 2017 erfolgter wesentlicher Veränderungen seines Gesundheitszustandes oder dessen erwerblicher Auswirkungen erneut mit einem Revisionsgesuch an die IV-Stelle zu gelangen.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