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9C_663/2016 vom 23. November 2016</w:t>
      </w:r>
    </w:p>
    <w:p>
      <w:r>
        <w:t>Bundesgericht, 2016-11-23, FR</w:t>
      </w:r>
    </w:p>
    <w:p>
      <w:r>
        <w:rPr>
          <w:b/>
        </w:rPr>
        <w:t xml:space="preserve">Quelle: </w:t>
      </w:r>
      <w:r>
        <w:t>https://mcp.opencaselaw.ch/entscheid/bger_9C_663_2016</w:t>
      </w:r>
    </w:p>
    <w:p>
      <w:r>
        <w:t>FR: TF 9C_663/2016 du 23 novembre 2016</w:t>
      </w:r>
    </w:p>
    <w:p>
      <w:r>
        <w:t>IT: TF 9C_663/2016 del 23 novembre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Compte tenu des motifs et conclusions du recours, le litige porte sur le droit du recourant à une rente entière d'invalidité, dans le cadre d'une nouvelle demande de prestations présentée le 25 mars 2013. A cet égard, le jugement entrepris expose de manière complète les règles légales et la jurisprudence applicables. Il suffit d'y renvoyer.</w:t>
      </w:r>
    </w:p>
    <w:p>
      <w:r>
        <w:rPr>
          <w:b/>
        </w:rPr>
        <w:t>E. 3.1</w:t>
      </w:r>
    </w:p>
    <w:p>
      <w:r>
        <w:t>Les premiers juges ont nié le droit du recourant à des prestations d'invalidité car la situation médicale de celui-ci ne s'était pas modifiée de manière notable depuis la décision du 6 octobre 2011. Ils ont en particulier constaté que l'assuré disposait d'une capacité de travail - toujours exigible à un taux d'activité de 75 % (et non pas de 85 %, corrigeant en ce sens une inadvertance de l'administration) - dans une activité adaptée inchangée depuis 2008, étant précisé que des limitations fonctionnelles supplémentaires (absence d'exposition aux irritants bronchiques et aux poussières) avaient été ajoutées à celles décrites par le médecin du SMR en 2008. Les premiers juges ont par ailleurs retenu que le recourant était âgé de presque 51 ans au moment où le médecin du SMR s'était prononcé en 2008, soit un âge encore loin de celui donnant droit à une rente de vieillesse. Il ne pouvait dès lors être considéré comme n'étant plus en mesure - en raison de son âge - de mettre en valeur la capacité de travail médico-théorique qui lui a été reconnue dès 2008 sur le marché équilibré du travail.</w:t>
      </w:r>
    </w:p>
    <w:p>
      <w:r>
        <w:rPr>
          <w:b/>
        </w:rPr>
        <w:t>E. 3.2</w:t>
      </w:r>
    </w:p>
    <w:p>
      <w:r>
        <w:t>Invoquant une violation de l' art. 16 LPGA , le recourant reproche à la juridiction cantonale d'avoir arbitrairement omis de prendre en compte à l'appui d'une analyse globale de la situation son âge avancé, sa maîtrise insuffisante d'au moins une langue nationale, son état de santé, son expérience professionnelle quasi inexistante et ses graves limitations fonctionnelles. Il affirme en particulier qu'il apparaît irréaliste qu'un employeur potentiel consente à l'engager au vu de son âge (59 ans) au moment du prononcé cantonal.</w:t>
      </w:r>
    </w:p>
    <w:p>
      <w:r>
        <w:rPr>
          <w:b/>
        </w:rPr>
        <w:t>E. 4.1</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le recourant se limite à énoncer des circonstances supposées faire apparaître comme irréaliste son engagement par un employeur potentiel sans autre explications et sans égard aux constatations de fait de la juridiction cantonale. Qui plus est, il développe sa critique par la reprise mot pour mot d'une large partie de la motivation présentée devant la juridiction cantonale. Cette manière de procéder - qui ne prend nullement appui sur la motivation de la décision attaquée - ne permet pas de déduire en quoi les constatations des premiers juges seraient inexactes, selon l' art. 97 al. 1 LTF , ni en quoi l'acte attaqué serait contraire au droit. Il n'y a dès lors pas lieu de remettre en cause le résultat de l'appréciation des preuves opérée par les premiers juges.</w:t>
      </w:r>
    </w:p>
    <w:p>
      <w:r>
        <w:rPr>
          <w:b/>
        </w:rPr>
        <w:t>E. 4.2</w:t>
      </w:r>
    </w:p>
    <w:p>
      <w:r>
        <w:t>C'est ensuite en vain que le recourant affirme que la juridiction cantonale aurait dû procéder à une analyse globale de la situation en raison de son âge. Il avait en effet 58 ans au moment où, dans le cadre de la nouvelle demande, l'exigibilité de l'exercice d'une activité adaptée a été constatée (avis du SMR du 18 août 2015; à ce sujet, voir ATF 138 V 457 consid. 3.3 p. 461). Il se trouvait dès lors encore loin de l'âge à partir duquel la jurisprudence considère généralement qu'il n'existe plus de possibilité réaliste de mise en valeur de la capacité de travail sur un marché du travail supposé équilibré (voir arrêt 9C_355/2011 du 8 novembre 2011 consid. 4.4 et les références).</w:t>
      </w:r>
    </w:p>
    <w:p>
      <w:r>
        <w:rPr>
          <w:b/>
        </w:rPr>
        <w:t>E. 5</w:t>
      </w:r>
    </w:p>
    <w:p>
      <w:r>
        <w:t>Au vu de ce qui précède, mal fondé, le recours doit être rejeté.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