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662/2015 vom 22. Oktober 2015</w:t>
      </w:r>
    </w:p>
    <w:p>
      <w:r>
        <w:t>Bundesgericht, 2015-10-22, DE</w:t>
      </w:r>
    </w:p>
    <w:p>
      <w:r>
        <w:rPr>
          <w:b/>
        </w:rPr>
        <w:t xml:space="preserve">Quelle: </w:t>
      </w:r>
      <w:r>
        <w:t>https://mcp.opencaselaw.ch/entscheid/bger_9C_662_2015</w:t>
      </w:r>
    </w:p>
    <w:p>
      <w:r>
        <w:t>FR: TF 9C 662/2015 du 22 octobre 2015</w:t>
      </w:r>
    </w:p>
    <w:p>
      <w:r>
        <w:t>IT: TF 9C 662/2015 del 22 ottobre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 über die Wiedererwägung einer zweifellos unrichtigen Verfügung ( Art. 53 Abs. 2 ATSG ) unter Hinweis auf die Rechtsprechung ( BGE 125 V 383 E. 3 S. 389; SVR 2010 IV Nr. 5 S. 10, 8C_1012/2008; Urteil 9C_339/2010 vom 30. November 2010) zutreffend wiedergegeben. Darauf wird verwiesen.</w:t>
      </w:r>
    </w:p>
    <w:p>
      <w:r>
        <w:rPr>
          <w:b/>
        </w:rPr>
        <w:t>E. 3.1</w:t>
      </w:r>
    </w:p>
    <w:p>
      <w:r>
        <w:t>Das kantonale Gericht gelangte nach eingehender Würdigung der medizinischen Unterlagen in Übereinstimmung mit der Verwaltung zum Schluss, dass die ursprüngliche Zusprechung einer ganzen Invalidenrente zweifellos unrichtig gewesen sei. Die IV-Stelle habe lediglich die Arbeitsunfähigkeit im damals ausgeübten Beruf herangezogen, während sie die Einsatzfähigkeit des Versicherten in den übrigen in Betracht fallenden zumutbaren Tätigkeiten ausser Acht gelassen habe. Bei einer korrekten Invaliditätsbemessung hätte lediglich eine tiefere Invalidenrente zugesprochen werden können; allenfalls hätte ein Rentenanspruch gar ausgeschlossen werden müssen. Mit Bezug auf den Zeitpunkt der angefochtenen Verfügung vom 25. März 2014 stellte die Vorinstanz im Wesentlichen auf das Gutachten der Gutachterstelle B.________ vom 13. Dezember 2010 ab, wonach für körperlich leichte, adaptierte Tätigkeiten eine volle Arbeitsfähigkeit bestehe. Diese vermöge der Beschwerdeführer auf dem Weg der Selbsteingliederung zu verwerten, was insbesondere aus seinen eigenen Angaben bezüglich der von ihm verrichteten Hauswartarbeiten hervorgeht. Ferner bestätigte das Versicherungsgericht den Einkommensvergleich der IV-Stelle und hielt fest, dass kein Rentenanspruch mehr bestehe.</w:t>
      </w:r>
    </w:p>
    <w:p>
      <w:r>
        <w:rPr>
          <w:b/>
        </w:rPr>
        <w:t>E. 3.2</w:t>
      </w:r>
    </w:p>
    <w:p>
      <w:r>
        <w:t>Die in der Beschwerde erhobenen Einwendungen sind nicht geeignet, die vorinstanzliche Sachverhaltsfeststellung als offensichtlich unrichtig oder den angefochtenen Entscheid als sonst wie bundesrechtswidrig erscheinen zu lassen. Soweit sich der Versicherte auf die ärztlichen Berichte und Gutachten bezieht, erschöpfen sich die Ausführungen in appellatorischer Kritik an der Sachverhaltsfeststellung, welche im Rahmen der gesetzlichen Überprüfungsbefugnis des Bundesgerichts unzulässig ist (E. 1 hievor). In der Ablehnung einer weiteren medizinischen Begutachtung durch die Voristanz kann sodann weder eine Verletzung des rechtlichen Gehörs noch des Untersuchungsgrundsatzes erblickt werden, konnte sich doch der Versicherte zu seiner Sache wiederholt äussern und hat das kantonale Gericht den Sachverhalt umfassend abgeklärt. Eine antizipierte Beweiswürdigung war daher zulässig. Auch in erwerblicher Hinsicht vermag der Beschwerdeführer nicht darzutun, inwiefern die Vorinstanz Bundesrecht verletzt haben soll. Insbesondere macht er nicht geltend, weshalb die im angefochtenen Entscheid getroffene Annahme, er vermöchte ohne berufliche Eingliederungsmassnahmen ein rentenausschliessendes Einkommen zu erzielen, rechtswidrig sein könnte. Dass sich der langjährige Rentenbezug erschwerend auf die Wiedereingliederung in den Arbeitsmarkt auswirken kann, ist der Vorinstanz nicht entgangen. Indessen hat sie wesentlich auf die eigenen Angaben des Versicherten zu seiner Mitarbeit bei der Hauswarttätigkeit seiner Ehefrau abgestellt, in welche er stark involviert ist. Damit ist dem Argument, der langjährige Rentenbezug ohne Verrichtung von Erwerbsarbeit stehe der Selbsteingliederung entgegen, der Boden entzogen.</w:t>
      </w:r>
    </w:p>
    <w:p>
      <w:r>
        <w:rPr>
          <w:b/>
        </w:rPr>
        <w:t>E. 4</w:t>
      </w:r>
    </w:p>
    <w:p>
      <w:r>
        <w:t>Dem Verfahrensausgang entsprechend sind die Gerichtskosten dem unterliegenden Beschwerdeführer aufzuerlegen ( Art. 66 Abs. 1 Satz 1 BGG ).</w:t>
      </w:r>
    </w:p>
    <w:p>
      <w:r>
        <w:rPr>
          <w:b/>
        </w:rPr>
        <w:t>E. 5</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