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65/2012 vom 28. Februar 2012</w:t>
      </w:r>
    </w:p>
    <w:p>
      <w:r>
        <w:t>Bundesgericht, 2012-02-28, DE</w:t>
      </w:r>
    </w:p>
    <w:p>
      <w:r>
        <w:rPr>
          <w:b/>
        </w:rPr>
        <w:t xml:space="preserve">Quelle: </w:t>
      </w:r>
      <w:r>
        <w:t>https://mcp.opencaselaw.ch/entscheid/bger_9C_65_2012</w:t>
      </w:r>
    </w:p>
    <w:p>
      <w:r>
        <w:t>FR: TF 9C 65/2012 du 28 février 2012</w:t>
      </w:r>
    </w:p>
    <w:p>
      <w:r>
        <w:t>IT: TF 9C 65/2012 del 28 febbraio 2012</w:t>
      </w:r>
    </w:p>
    <w:p>
      <w:pPr>
        <w:pStyle w:val="Heading2"/>
      </w:pPr>
      <w:r>
        <w:t>Regeste</w:t>
      </w:r>
    </w:p>
    <w:p>
      <w:r>
        <w:t>Invalidenversicherung (Invalidenrente, Revision)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Ändert sich der Invaliditätsgrad einer Rentenbezügerin oder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130 V 343 E. 3.5 S. 349 mit Hinweisen). Dagegen stellt die unterschiedliche Beurteilung der Auswirkungen eines im Wesentlichen unverändert gebliebenen Gesundheitszustandes auf die Arbeitsfähigkeit keinen Revisionsgrund im Sinne von Art. 17 Abs. 1 ATSG dar (Urteile 9C_932/2011 vom 3. Februar 2012 E. 2.4; 9C_552/2007 vom 17. Januar 2008 E. 3.1.2 mit Hinweisen).</w:t>
      </w:r>
    </w:p>
    <w:p>
      <w:r>
        <w:rPr>
          <w:b/>
        </w:rPr>
        <w:t>E. 3</w:t>
      </w:r>
    </w:p>
    <w:p>
      <w:r>
        <w:t>Die Vorinstanz hat dem psychiatrischen Gutachten des Dr. med. K.________ vom 6. August 2010 in Bezug auf den Gesundheitszustand und dessen Entwicklung Beweiskraft beigemessen und gestützt darauf festgestellt, seit der 2002 erfolgten Rentenzusprache bis zum Erlass der angefochtenen Verfügung sei keine für die Arbeitsfähigkeit relevante dauerhafte Veränderung der gesundheitlichen Situation eingetreten. Dr. med. K.________'s Annahme einer vollen Arbeitsfähigkeit stelle hingegen lediglich eine andere Beurteilung eines unverändert gebliebenen Sachverhalts dar, was im Rahmen der Rentenrevision unbeachtlich sei. Weiter hat sie es für unzulässig gehalten, im Beschwerdeverfahren die Rente gemäss Antrag der IV-Stelle wiedererwägungsweise (vgl. Art. 53 Abs. 2 ATSG ) aufzuheben. In der Annahme, der Beschwerdeführer könne wie bis anhin seine angestammte Tätigkeit im Umfang von 50 % ausüben, hat sie bei einem unveränderten Invaliditätsgrad von 50 % den Anspruch auf eine halbe Invalidenrente bestätigt.</w:t>
      </w:r>
    </w:p>
    <w:p>
      <w:r>
        <w:rPr>
          <w:b/>
        </w:rPr>
        <w:t>E. 4.1</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4.2</w:t>
      </w:r>
    </w:p>
    <w:p>
      <w:r>
        <w:t>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4.3</w:t>
      </w:r>
    </w:p>
    <w:p>
      <w:r>
        <w:t>Dass die IV-Stelle wie die Vorinstanz aus rechtlichen Gründen (zu Recht; E. 4.5) nicht die Arbeitsfähigkeitsschätzung des Dr. med. K.________, der für die bisherige Tätigkeit keine Einschränkung attestierte, übernahm, schmälert den Beweiswert seines Gutachtens in Bezug auf den Gesundheitszustand und dessen Entwicklung nicht. Auch zieht die Tatsache, dass der Versicherte vier Monate stationär und anschliessend ambulant psychiatrisch behandelt wurde, nicht zwingend den Schluss auf eine dauernde, relevante Verschlechterung des Gesundheitszustandes nach sich. Anders als vom Beschwerdeführer behauptet, ging der Experte weder für den Zeitpunkt der Begutachtung noch für den davor liegenden Zeitraum von einer vollständigen psychischen Gesundheit aus, er relativierte indessen die früher gestellten Diagnosen und Arbeitsfähigkeitsschätzungen. Das kantonale Gericht hat diesbezüglich zutreffend auf den Unterschied zwischen Behandlungs- und Begutachtungsauftrag verwiesen ( BGE 125 V 351 E. 3b/cc S. 353; Urteile 8C_740/2010 vom 29. September 2011 E. 6; 9C_842/2009 vom 17. November 2009 E. 2.2) und festgestellt, dass Dr. med. K.________ sich in überzeugender Weise mit den abweichenden Auffassungen anderer Ärzte auseinandersetzte. Das ist gerade die Aufgabe des medizinischen Administrativgutachters als Sachverständigen. So legte er insbesondere einleuchtend dar, weshalb er trotz entsprechender Symptome eine eigenständige Diagnose einer Angststörung nach ICD-10 verwarf. Weiter musste sich der Gutachter nicht mit anderen Ärzten in Verbindung setzen, liegt doch das Einholen fremdanamnestischer Auskünfte in seinem Ermessensspielraum (Urteile 9C_762/2010 vom 19. Oktober 2010 E. 3.1; 9C_482/2010 vom 21. September 2010 E. 4.1). Es ist auch nicht ersichtlich, dass Dr. med. K.________ ausschliesslich auf den kritisierten MADRS-Test zur Fremdbeurteilung abgestellt oder die Selbstbeurteilungsfragebögen (vgl. dazu Urteil 8C_486/2010 vom 2. Dezember 2010 E. 3.1.2) ungenügend beachtet haben soll, zumal er eigene fachärztliche Untersuchungen durchführte und zu den geklagten Beschwerden Stellung nahm. Soweit der Beschwerdeführer die Ausführungen im Gutachten als "konstruiert", "nicht schlüssig", "widersprüchlich", "wortklauberisch" oder gar "winkeladvokatisch" bezeichnet, kann ihm nicht beigepflichtet werden, beschränkt er sich doch im Wesentlichen darauf, lediglich die medizinischen Unterlagen abweichend zu würdigen und daraus andere Schlüsse zu ziehen, was nicht genügt (Urteile 9C_688/2007 vom 22. Januar 2008 E. 2.3 und 4A_28/2007 vom 30. Mai 2007 E. 1.3 [in BGE 133 III 421 nicht publiziert]). Das Gutachten des Dr. med. K.________ erfüllt in Bezug auf die ausschlaggebende Frage nach einer relevanten Verschlechterung des Gesundheitszustandes die materiellen Anforderungen an die Beweiskraft (E. 4.2). Schliesslich ist es auch unter dem Aspekt, dass es durch die Verwaltung - in Nachachtung des Untersuchungsgrundsatzes ( Art. 43 Abs. 1 ATSG ) - in Auftrag gegeben wurde, beweiskräftig ( BGE 125 V 351 E. 3b/bb S. 353; vgl. auch BGE 137 V 210 E. 2.1-2.3 S. 229 ff.), zumal keine konkreten Indizien gegen seine Zuverlässigkeit sprechen.</w:t>
      </w:r>
    </w:p>
    <w:p>
      <w:r>
        <w:rPr>
          <w:b/>
        </w:rPr>
        <w:t>E. 4.4</w:t>
      </w:r>
    </w:p>
    <w:p>
      <w:r>
        <w:t>Was die Herzproblematik betrifft, hat die Vorinstanz gestützt auf den Bericht des Spitals X.________ vom 26. März 2010 - gegen welchen der Beschwerdeführer nichts vorbringt - festgestellt, der 2009 erfolgte weitere Eingriff an den Koronargefässen habe einen guten Erfolg gezeigt. Hinweise auf eine auf dem Herzleiden beruhende anhaltende Verschlechterung des Gesundheitszustandes und der Leistungsfähigkeit fehlten in diesem Bericht und anderen ärztlichen Stellungnahmen. Daraus hat sie auch hinsichtlich der Herzbeschwerden - entgegen der Auffassung des Beschwerdeführers - nicht auf eine volle Arbeitsfähigkeit, sondern unter zulässigem Verzicht auf weitere Abklärungen (vgl. zur antizipierenden Beweiswürdigung BGE 137 V 64 E. 5.2 S. 69 ; 136 I 229 E. 5.3 S. 236; Urteil 8C_682/2011 E. 3.2.4) auf einen im Wesentlichen unveränderten Gesundheitszustand geschlossen.</w:t>
      </w:r>
    </w:p>
    <w:p>
      <w:r>
        <w:rPr>
          <w:b/>
        </w:rPr>
        <w:t>E. 4.5</w:t>
      </w:r>
    </w:p>
    <w:p>
      <w:r>
        <w:t>Nach dem Gesagten sind die vorinstanzliche Beweiswürdigung und Sachverhaltsfeststellung betreffend den Gesundheitszustand und dessen Entwicklung nicht offensichtlich unrichtig und beruhen auch nicht auf einer Rechtsverletzung. Sie bleiben daher für das Bundesgericht verbindlich (E. 1). Daher hat das kantonale Gericht zu Recht den geltend gemachten Revisionsgrund eines verschlimmerten Gesundheitszustandes ausgeschlossen.</w:t>
      </w:r>
    </w:p>
    <w:p>
      <w:r>
        <w:rPr>
          <w:b/>
        </w:rPr>
        <w:t>E. 4.6</w:t>
      </w:r>
    </w:p>
    <w:p>
      <w:r>
        <w:t>Auch was die erwerblichen Auswirkungen der gesundheitlich bedingten Einschränkungen anbelangt, ist nicht von einer wesentlichen Änderung auszugehen: Der Beschwerdeführer macht zwar geltend, er habe 2009 seine selbstständige Erwerbstätigkeit aufgegeben und könne daher nicht das ihm früher angerechnete Invalideneinkommen erzielen. Er begründet diese Tatsachen indessen ausschliesslich mit seinem verschlechterten Gesundheitszustand. Diesbezüglich sind aber die verbindlichen vorinstanzlichen Feststellungen massgeblich (E. 4.5), nicht die abweichenden Auffassungen des Versicherten. Er legt nicht dar und es ist auch nicht ersichtlich, dass aus anderen Gründen die Ausschöpfung der mit der Verfügung vom 11. Dezember 2002 festgelegten und seither unveränderten medizinisch-theoretischen Arbeitsfähigkeit von 50 % in der bisherigen Tätigkeit unzumutbar (gewesen) sein soll und dadurch nicht wenigstens etwas mehr als zwei Fünftel des Valideneinkommens hätte erzielt werden können ( BGE 104 V 135 E. 2b in fine S. 137). Für die Invaliditätsbemessung resp. das Vorliegen eines Revisionsgrundes ist daher nicht relevant, ob die als zumutbar erachtete Tätigkeit auch tatsächlich ausgeübt wird oder ob dies nicht mehr möglich ist aufgrund einer Entscheidung des Beschwerdeführers, die letztlich als Verletzung der Schadenminderungspflicht (vgl. BGE 113 V 22 E. 4a S. 28 mit Hinweisen; Urteil 9C_916/2010 vom 20. Juni 2011 E. 2.2) zu qualifizieren ist.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