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9C_659/2014 vom 13. März 2015</w:t>
      </w:r>
    </w:p>
    <w:p>
      <w:r>
        <w:t>Bundesgericht, 2015-03-13, FR</w:t>
      </w:r>
    </w:p>
    <w:p>
      <w:r>
        <w:rPr>
          <w:b/>
        </w:rPr>
        <w:t xml:space="preserve">Quelle: </w:t>
      </w:r>
      <w:r>
        <w:t>https://mcp.opencaselaw.ch/entscheid/bger_9C_659_2014</w:t>
      </w:r>
    </w:p>
    <w:p>
      <w:r>
        <w:t>FR: TF 9C_659/2014 du 13 mars 2015</w:t>
      </w:r>
    </w:p>
    <w:p>
      <w:r>
        <w:t>IT: TF 9C_659/2014 del 13 marzo 2015</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le recours constitutionnel subsidiaire interjeté par la recourante est irrecevable.</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droit de la recourante à une rente d'invalidité dans le cadre d'une nouvelle demande de prestations. Il s'agit singulièrement de déterminer si - par analogie avec l' art. 17 LPGA (cf. art. 87 al. 3 RAI ; voir également ATF 133 V 108 consid. 5 p. 110 ss; 130 V 343 consid. 3.5.2 p. 350 sv.; 130 V 71 consid. 3.2 p. 75 ss) - son taux d'invalidité a subi une modification notable entre la décision litigieuse du 1</w:t>
      </w:r>
    </w:p>
    <w:p>
      <w:r>
        <w:t>er novembre 2011 et la dernière décision de refus de prestations du 19 juin 2002, en raison notamment d'une dégradation de la situation économique, ce qui lui ouvrirait le droit à une rente.</w:t>
      </w:r>
    </w:p>
    <w:p>
      <w:r>
        <w:rPr>
          <w:b/>
        </w:rPr>
        <w:t>E. 4</w:t>
      </w:r>
    </w:p>
    <w:p>
      <w:r>
        <w:t>L'assurée reproche à la juridiction cantonale d'avoir nié son droit à une rente au motif qu'elle aurait été en mesure de trouver une activité adaptée sur le marché équilibré du travail. Contrairement à ce qu'ont retenu les premiers juges, elle estime qu'elle n'était plus capable de travailler en raison de son état de santé et des modifications structurelles du marché de l'emploi survenues entre le 19 juin 2002 et le 1er novembre 2011 (nouvelles exigences de productivité, d'efficacité et de capacités d'adaptation; augmentation du chômage et besoin important de main-d'oeuvre qualifiée dus à l'application de l'accord sur la libre circulation des personnes en Suisse, etc.), ce que semblait selon elle confirmer le service de réadaptation de l'office AI en indiquant qu'elle ne pouvait travailler que dans un milieu protégé (avis interne de l'office AI des 29 avril et 13 mai 2011). En comparant les circonstances existant aux moments opportuns du point de vue d'une nouvelle demande de prestations, la juridiction cantonale n'aurait à tort pas observé de changement qui justifiait l'octroi d'une rente.</w:t>
      </w:r>
    </w:p>
    <w:p>
      <w:r>
        <w:rPr>
          <w:b/>
        </w:rPr>
        <w:t>E. 5.1.1</w:t>
      </w:r>
    </w:p>
    <w:p>
      <w:r>
        <w:t>On rappellera préalablement que l'invalidité consiste en une diminution des possibilités de gain de l'assuré sur un marché équilibré du travail si cette diminution résulte d'une atteinte à la santé et si elle persiste après les traitements et les mesures de réadaptation exigibles (cf. art. 7 al. 1 et 8 al. 1 LPGA).</w:t>
      </w:r>
    </w:p>
    <w:p>
      <w:r>
        <w:rPr>
          <w:b/>
        </w:rPr>
        <w:t>E. 5.1.2</w:t>
      </w:r>
    </w:p>
    <w:p>
      <w:r>
        <w:t>En l'occurrence, il n'est pas contesté que l'intéressée souffre des séquelles d'un accident survenu le 16 juin 1984 (status post-ablation du rein et de la rate, arthrodèse de la cheville avec raccourcissement du membre inférieur et port d'une orthèse) et de dysfonctions neuropsychologiques (quotient intellectuel à la limite de la moyenne inférieure, baisse des capacités de flexibilité mentale, de mémoire immédiate et de travail ainsi que difficultés à élaborer des explications verbales complexes) occasionnant plusieurs limitations fonctionnelles (rester en position essentiellement assise, éviter les situations de double-tâches, les interférences, les tâches complexes faisant appel à l'autogestion, les contraintes temporelles et les situations dans lesquelles plusieurs informations sont données).</w:t>
      </w:r>
    </w:p>
    <w:p>
      <w:r>
        <w:rPr>
          <w:b/>
        </w:rPr>
        <w:t>E. 5.2.1</w:t>
      </w:r>
    </w:p>
    <w:p>
      <w:r>
        <w:t>Chez les assurés actifs, le degré d'invalidité doit être déterminé sur la base d'une comparaison des revenus, que ce soit dans le cadre d'une première demande ou d'une nouvelle demande de prestations.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qui doit s'élever à un taux minimum de 40% pour ouvrir un droit à la rente ( art. 28 al. 1 let. b LAI ).</w:t>
      </w:r>
    </w:p>
    <w:p>
      <w:r>
        <w:rPr>
          <w:b/>
        </w:rPr>
        <w:t>E. 5.2.2</w:t>
      </w:r>
    </w:p>
    <w:p>
      <w:r>
        <w:t>En l'espèce, le Tribunal fédéral a constaté dans son arrêt 9F_3/2011 du 11 juillet 2012 - de manière à lier la Cour de céans dans la mesure où aucune nouvelle affection n'a été allégée - qu'au vu de son état de santé somatique et psychologique (cf. consid. 5.1.2), la recourante disposait d'une capacité totale de travail dans une activité adaptée (avec une diminution de rendement de 30%). Il découlait du calcul opéré sur la base d'un revenu avec invalidité de 37'524 fr. et d'un revenu sans invalidité de 43'896 fr., que l'assurée subissait une perte de gain de 10%, correspondant à un taux d'invalidité équivalent, de sorte qu'elle n'avait pas droit à une rente. Concernant les nouveaux éléments invoqués dans le cadre de la nouvelle demande, le Tribunal fédéral a retenu que les limitations neuropsychologiques et le quotient intellectuel à la limite inférieure de la moyenne, mentionnés dans le rapport du 7 avril 2011 de la psychologue F.________, n'étaient pas de nature à modifier les activités exigibles retenues auparavant, à savoir des activités simples et répétitives. La psychologue avait d'ailleurs expliqué que seules les activités de restauratrice et de secrétaire étaient incompatibles avec les nouvelles limitations. En revanche, les activités de vendeuse dans un kiosque ou d'ouvrière d'usine mentionnées par l'office AI n'avaient pas été écartées (arrêt 9F_3/2011 du 11 juillet 2012, consid. 5.1 et 5.2.1).</w:t>
      </w:r>
    </w:p>
    <w:p>
      <w:r>
        <w:rPr>
          <w:b/>
        </w:rPr>
        <w:t>E. 5.2.3</w:t>
      </w:r>
    </w:p>
    <w:p>
      <w:r>
        <w:t>D'un point de vue strictement médical, l'intéressée ne conteste pas les constatations du Tribunal fédéral, reprises par la juridiction cantonale - ni n'allègue par ailleurs de nouvelles pathologies -, excepté le fait qu'elle serait capable d'exploiter sa capacité résiduelle de travail sur le marché équilibré de l'emploi et non pas uniquement dans un milieu protégé. Ce point a déjà été tranché par la Cour de céans. Elle avait considéré que les avis internes de l'administration des 29 avril et 13 mai 2011, selon lesquels la capacité de travail de la recourante était limitée aux activités en atelier protégé, ne reposaient sur aucun avis médical. Elle avait ajouté que, même si l'assurée avait toujours travaillé au sein de l'hôtel tenu par ses parents et qu'elle n'avait jamais vraiment exercé d'activité professionnelle à temps complet, cela ne suffisait pas pour conclure qu'elle ne pouvait oeuvrer que dans un cadre protégé (arrêt 9F_3/2011 du 11 juillet 2012, consid. 5.2.2). Il convient donc de constater que l'exercice d'une activité adaptée sur le marché équilibré du travail restait exigible au moment de la décision litigieuse.</w:t>
      </w:r>
    </w:p>
    <w:p>
      <w:r>
        <w:rPr>
          <w:b/>
        </w:rPr>
        <w:t>E. 5.3.1</w:t>
      </w:r>
    </w:p>
    <w:p>
      <w:r>
        <w:t>L'intéressée estime encore qu'il n'existerait sur le marché équilibré du travail aucune activité exigible de sa part en raison du durcissement des conditions économiques.</w:t>
      </w:r>
    </w:p>
    <w:p>
      <w:r>
        <w:rPr>
          <w:b/>
        </w:rPr>
        <w:t>E. 5.3.2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w:t>
      </w:r>
    </w:p>
    <w:p>
      <w:r>
        <w:t>Lorsqu'il s'agit d'examiner dans quelle mesure un assuré peut encore exploiter économiquement sa capacité résiduelle de gain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9C_984/2008 du 4 mai 2008 consid. 6.2; I 350/89 du 30 avril 1991 consid. 3b, in RCC 1991 p. 329; I 329/88 du 25 janvier 1989 consid. 4a, in RCC 1989 p. 328).</w:t>
      </w:r>
    </w:p>
    <w:p>
      <w:r>
        <w:rPr>
          <w:b/>
        </w:rPr>
        <w:t>E. 5.3.3</w:t>
      </w:r>
    </w:p>
    <w:p>
      <w:r>
        <w:t>Certes, comme l'allègue justement la recourante, le Tribunal fédéral a admis dans un arrêt 9C_984/2008 du 4 mai 2009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(arrêt 9C_984/2008, consid. 5.2 et 6.2).</w:t>
      </w:r>
    </w:p>
    <w:p>
      <w:r>
        <w:t>Contrairement à ce qui ressort de la jurisprudence citée, la recourante dispose en l'occurrence d'une capacité totale de travail (avec un rendement limité) sur le marché équilibré de l'emploi et pas uniquement dans un milieu protégé (cf. consid. 5.2.3), de sorte que la nature et l'importance de sa pathologie ne constituent pas des obstacles irrémédiables à la reprise d'un travail sur un marché qui lui offre un éventail suffisamment large d'activités légères dont un nombre significatif est adapté à ses limitations fonctionnelles (somatiques et neuropsychologiques) et accessibles sans aucune formation particulière. Les métiers de vendeuse dans un kiosque ou d'ouvrière évoqués par l'office AI et le Tribunal fédéral au cours de la procédure ne sont que des exemples. On pourrait encore citer des tâches simples de surveillance, de vérification, de contrôle ou encore des tâches d'approvisionnement de machines ou d'unités de production automatiques ou semi-automatiques.</w:t>
      </w:r>
    </w:p>
    <w:p>
      <w:r>
        <w:t>Au vu des possibilités réelles d'insertion de l'assurée sur le marché équilibré de l'emploi, qui découlent de ce qui précède, il n'y a donc pas lieu d'examiner le marché concret du travail. Il n'est de plus ni nécessaire ni même utile d'examiner l'impact d'une hypothétique péjoration des circonstances économiques sur la situation de la recourante dès lors que, dans le cadre d'un marché équilibré du travail, les postes évoqués seraient toujours disponibles. Si leur accès devait être effectivement rendu plus difficile en raison de l'aggravation mentionnée, ce problème ne relèverait de toute façon pas de l'assurance-invalidité mais de l'assurance-chômage.</w:t>
      </w:r>
    </w:p>
    <w:p>
      <w:r>
        <w:rPr>
          <w:b/>
        </w:rPr>
        <w:t>E. 5.4</w:t>
      </w:r>
    </w:p>
    <w:p>
      <w:r>
        <w:t>Compte tenu de l'état de santé de l'intéressée (consid. 5.1), de ses effets sur sa capacité de travail (consid. 5.2) et de la possibilité d'exercer une activité sur le marché équilibré du travail (consid. 5.3), le recours est mal fondé.</w:t>
      </w:r>
    </w:p>
    <w:p>
      <w:r>
        <w:rPr>
          <w:b/>
        </w:rPr>
        <w:t>E. 6</w:t>
      </w:r>
    </w:p>
    <w:p>
      <w:r>
        <w:t>La recourante semble encore reprocher à la juridiction cantonale d'avoir violé son droit d'être entendue et constaté les faits de façon manifestement inexacte au motif que cette dernière n'aurait pas pleinement exploité la documentation appuyant le recours, ni renvoyé le dossier aux services de réadaptation de l'administration pour instruction complémentaire. Le grief de l'assurée tombe à faux dès lors que les éventuelles modifications structurelles que peut connaître le marché équilibré du travail n'entrent pas en considération en l'espèce (cf. consid. 5.3.3), de sorte que l'examen de la documentation produite par l'intéressée à ce sujet n'est pas nécessaire à la résolution du litige, pas plus qu'une analyse par les services de réadaptation de l'office AI des possibilités d'accès au marché de l'emploi.</w:t>
      </w:r>
    </w:p>
    <w:p>
      <w:r>
        <w:rPr>
          <w:b/>
        </w:rPr>
        <w:t>E. 7.1</w:t>
      </w:r>
    </w:p>
    <w:p>
      <w:r>
        <w:t>La recourante demande encore à la Cour de céans de considérer son recours comme une demande de révision des arrêts I 236/04 et 9F_3/2011 des 29 mars 2005 et 11 juillet 2012, pour le cas où le Tribunal fédéral s'estimerait lié par les arrêts cités.</w:t>
      </w:r>
    </w:p>
    <w:p>
      <w:r>
        <w:rPr>
          <w:b/>
        </w:rPr>
        <w:t>E. 7.2</w:t>
      </w:r>
    </w:p>
    <w:p>
      <w:r>
        <w:t>La procédure de révision n'est possible que si le requérant découvre après coup des faits pertinents ou des moyens de preuve concluants qu'il n'avait pas pu invoquer dans la procédure précédente, à l'exclusion des faits ou moyens de preuve postérieurs à l'arrêt (cf. art. 123 al. 2 let. a LTF ). La demande doit être déposée au plus tard dans les 90 jours qui suivent la découverte du motif de révision (cf. art. 124 al. 1 let . d LTF).</w:t>
      </w:r>
    </w:p>
    <w:p>
      <w:r>
        <w:rPr>
          <w:b/>
        </w:rPr>
        <w:t>E. 7.3</w:t>
      </w:r>
    </w:p>
    <w:p>
      <w:r>
        <w:t>En l'espèce, l'assurée invoque le 12 septembre 2014 la modification de la structure du marché du travail entre 2002 et 2012 comme motif de révision. Elle estime que ce fait ne pouvait pas être invoqué avant le 19 juin 2014, date du jugement cantonal entrepris, en raison du manque de recul nécessaire afin de procéder à un examen du marché de l'emploi. Or, l'intéressée avait déjà expliqué dans sa détermination du 4 octobre 2012 auprès de la juridiction cantonale en quoi la situation économique et les conditions du marché du travail s'étaient aggravées ces dernières années et quelles en étaient les conséquences, ce qui semble fondamentalement correspondre à l'argumentation développée céans. Le point de savoir si la demande de révision est tardive ou non peut toutefois rester ouvert. En effet, il ressort clairement de ce qui précède que l'éventuel durcissement des conditions économiques allégué ne saurait en l'espèce constituer un motif pertinent de révision (sur la notion de fait pertinent, cf. ATF 134 III 669 consid. 2.2 p. 670; 127 V 353 consid. 5b p. 358 et les références; voir aussi arrêt 9F_4/2009 du 29 septembre 2009 consid. 1.2) dans la mesure où, aucune circonstance médicale nouvelle n'étant apparue ou n'ayant été alléguée postérieurement au dernier des deux arrêts mentionnés, il a été clairement établi que seul le marché équilibré du travail entrait en considération pour la recourante et non le marché concret du travail dans lequel la détérioration des circonstances économiques pourrait jouer un rôle.</w:t>
      </w:r>
    </w:p>
    <w:p>
      <w:r>
        <w:rPr>
          <w:b/>
        </w:rPr>
        <w:t>E. 8</w:t>
      </w:r>
    </w:p>
    <w:p>
      <w:r>
        <w:t>Vu l'issue du litige, les frais judiciaires sont mis à la charge de la recourante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