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9C_656/2013 vom 11. Dezember 2013</w:t>
      </w:r>
    </w:p>
    <w:p>
      <w:r>
        <w:t>Bundesgericht, 2013-12-11, DE</w:t>
      </w:r>
    </w:p>
    <w:p>
      <w:r>
        <w:rPr>
          <w:b/>
        </w:rPr>
        <w:t xml:space="preserve">Quelle: </w:t>
      </w:r>
      <w:r>
        <w:t>https://mcp.opencaselaw.ch/entscheid/bger_9C_656_2013</w:t>
      </w:r>
    </w:p>
    <w:p>
      <w:r>
        <w:t>FR: TF 9C_656/2013 du 11 décembre 2013</w:t>
      </w:r>
    </w:p>
    <w:p>
      <w:r>
        <w:t>IT: TF 9C_656/2013 del 11 dicembre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der Anspruch auf eine Invalidenrente. Das kantonale Gericht hat die gesetzlichen Bestimmungen und die von der Rechtsprechung entwickelten Grundsätze, namentlich über den Begriff der Invalidität ( Art. 8 ATSG , Art. 4 IVG ), den Umfang des Rentenanspruchs ( Art. 28 Abs. 2 IVG ), die Bemessung des Invaliditätsgrades ( Art. 28a IVG und Art. 16 ATSG ) sowie zum Beweiswert und zur Beweiswürdigung ärztlicher Berichte und Gutachten ( BGE 125 V 351 E. 3a S. 352 mit Hinweis) richtig dargelegt. Darauf wird verwiesen.</w:t>
      </w:r>
    </w:p>
    <w:p>
      <w:r>
        <w:rPr>
          <w:b/>
        </w:rPr>
        <w:t>E. 3</w:t>
      </w:r>
    </w:p>
    <w:p>
      <w:r>
        <w:t>Der Beschwerdeführer rügt, die gutachterliche Feststellung einer Restarbeitsfähigkeit von 70 % in einer angepassten Tätigkeit stehe im Widerspruch zu den übrigen Arztberichten, die in einer Verweisungstätigkeit allesamt von einer 50%igen Arbeitsfähigkeit ausgehen würden. In diesem Zusammenhang beanstandet er eine ungenügende Abklärung des medizinischen Sachverhaltes.</w:t>
      </w:r>
    </w:p>
    <w:p>
      <w:r>
        <w:rPr>
          <w:b/>
        </w:rPr>
        <w:t>E. 3.1</w:t>
      </w:r>
    </w:p>
    <w:p>
      <w:r>
        <w:t>Der Beschwerdeführer nimmt insbesondere Anstoss daran, dass der Fachbereich Neurologie bei der Begutachtung ausgelassen worden sei. Dazu ist vorweg festzuhalten, dass der Beschwerdeführer im Verwaltungsverfahren nichts gegen die bidisziplinäre rheumatologisch-psychiatrische Begutachtung eingewendet hatte. Vor der kantonalen Instanz forderte er zwar (für den Fall der Ablehnung des Hauptantrages auf eine ganze Invalidenrente) eine umfassende medizinische Begutachtung, spezifizierte im Hinblick darauf aber keine Fachdisziplinen. Letztinstanzlich begründet er den Antrag auf eine neurologische Begutachtung nun damit, Frau Dr. med. T.________, Neurologie FMH, sei im Bericht an den Hausarzt vom 5. September 2013 von einer Arbeitsfähigkeit von 50 % in einer angepassten Tätigkeit ausgegangen. Soweit es sich dabei überhaupt um ein zulässiges Novum handelt ( Art. 99 BGG ), bleibt zu dem genannten Bericht anzumerken, dass der gerichtliche Überprüfungszeitraum sich grundsätzlich nur auf den Sachverhalt erstreckt, wie er sich bis zum Erlass der streitigen Verfügung (hier: 10. Oktober 2012) verwirklicht hat ( BGE 130 V 445 E. 1.2 S. 446). Gesundheitliche Folgeentwicklungen, die in dem gut ein Jahr nach dem Stichdatum erstellten Bericht abgebildet sind, könnten somit höchstens Anlass für eine Neuprüfung des Leistungsanspruches in einem neu aufzunehmenden Verfahren sein, hier indes nicht berücksichtigt werden. In einem solchen Verfahren könnte dann allenfalls die Frage nach einer zusätzlichen neurologischen Abklärung aufgeworfen werden.</w:t>
      </w:r>
    </w:p>
    <w:p>
      <w:r>
        <w:rPr>
          <w:b/>
        </w:rPr>
        <w:t>E. 3.2</w:t>
      </w:r>
    </w:p>
    <w:p>
      <w:r>
        <w:t>Vorliegend wurde die Begutachtung durch die Administrativexperten Dres. med. J._________ und S.________ auf Anweisung des Regionalen Ärztlichen Dienstes beider (RAD) vom 19. Oktober 2011 veranlasst. Aufgabe eines RAD ist neben anderem, eine umfassende Einordnung vorzunehmen, welche Fachdisziplinen an der Begutachtung zu beteiligen sind (Urteil 9C_344/2012 vom 24. Oktober 2012 E. 4.2 mit Hinweis). Es lag somit in der Kompetenz des RAD, die Fachrichtungen Rheumatologie und Psychiatrie für die Begutachtung vorzusehen, nicht aber zusätzlich die Fachrichtung Neurologie. Die Administrativexperten J._________ und S.________ haben auch keinen Hinweis angebracht, dass noch zusätzliche Abklärungen in einem weiteren medizinischen Fachbereich für eine Begutachtung erforderlich sein sollten, um eine umfassende Beurteilung vorzunehmen. Im Gutachten ist zudem dokumentiert, dass Dr. med. W.________, Facharzt FMH für Neurologie, am 10. Februar 2010 über eine mässig ausgeprägte Wurzelkompression L5 links mit leichten sensomotorischen Ausfällen im Rahmen einer mittelgrossen mediolateralen Diskushernie L4/5 links berichtet hatte. Darauf Bezug nehmend gab Dr. med. J._________ zu Diskrepanzen zwischen der Aktenlage und den gutachterlichen Beurteilungen an, es hätten sich anlässlich der Exploration keine motorischen Ausfälle, d.h. keine motorische Schwäche finden lassen. Wenn die Vorinstanz im Vertrauen auf diese - auch vom Beschwerdeführer nicht bestrittene - Aussage die gutachterliche Einschätzung übernommen hat, ohne im Nachhinein noch ein neurologisches Gutachten zu veranlassen, kann ihr dies nicht als bundesrechtswidrige Pflichtverletzung bei der Sachverhaltsabklärung zum Vorwurf gemacht werden.</w:t>
      </w:r>
    </w:p>
    <w:p>
      <w:r>
        <w:rPr>
          <w:b/>
        </w:rPr>
        <w:t>E. 4.1</w:t>
      </w:r>
    </w:p>
    <w:p>
      <w:r>
        <w:t>Entgegen dem in der Beschwerde erhobenen Vorwurf hat die Vorinstanz die im Gutachten genannten notwendigen Positionswechsel bei einer leidensangepassten Beschäftigung nicht unterschlagen: In E. 6.4 des angefochtenen Entscheides ist ausdrücklich festgehalten, das Profil einer zumutbaren Verweisungstätigkeit umfasse eine Tätigkeit, bei welcher der Versicherte die Möglichkeit zum Positionswechsel habe. Der in diesem Zusammenhang erhobene Vorwurf der offensichtlich unrichtigen Sachverhaltsfeststellung zielt ins Leere.</w:t>
      </w:r>
    </w:p>
    <w:p>
      <w:r>
        <w:rPr>
          <w:b/>
        </w:rPr>
        <w:t>E. 4.2</w:t>
      </w:r>
    </w:p>
    <w:p>
      <w:r>
        <w:t>Wenn der Beschwerdeführer zudem vorbringt, die Wiederaufnahme einer Arbeit sei ihm ohne Umschulung verunmöglicht, ist er darauf hinzuweisen, dass die Vorinstanz über die Frage beruflicher Eingliederungsmassnahmen zu Recht ausdrücklich nicht entschieden hat. Sie ist auf das betreffende Begehren nicht eingetreten, weil zunächst ein entsprechendes Gesuch an die IV-Stelle zu stellen wäre (vorinstanzliche E. 1.2).</w:t>
      </w:r>
    </w:p>
    <w:p>
      <w:r>
        <w:rPr>
          <w:b/>
        </w:rPr>
        <w:t>E. 5</w:t>
      </w:r>
    </w:p>
    <w:p>
      <w:r>
        <w:t>Zudem wird gerügt, die Vorinstanz habe keinen Tabellenlohnabzug gewährt und in diesem Punkt das rechtliche Gehör verletzt. Ob ein Abzug vom hypothetischen Invalideneinkommen vorzunehmen ist, ist eine Rechtsfrage ( BGE 137 V 71 E. 5.1 S. 72). Der vorinstanzliche Entscheid lässt durchblicken, dass sich hier die Frage nach einem Abzug grundsätzlich stellen könnte. Wie jedoch zutreffend angemerkt worden ist, kann bei einem Invaliditätsgrad von 4 % auch bei der Gewährung des höchstzulässigen Abzugs ein anspruchsbegründender Invaliditätsgrad klar nicht erreicht werden. Deshalb konnte die Frage hier letztlich offen gelassen werden, und die Rüge einer Verletzung des rechtlichen Gehörs ist unbegründet.</w:t>
      </w:r>
    </w:p>
    <w:p>
      <w:r>
        <w:rPr>
          <w:b/>
        </w:rPr>
        <w:t>E. 6</w:t>
      </w:r>
    </w:p>
    <w:p>
      <w:r>
        <w:t>Die Beschwerde hatte keine Aussicht auf Erfolg, weshalb sie im vereinfachten Verfahren nach Art. 109 Abs. 2 lit. a BGG erledigt wird.</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