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655/2024 vom 9. Mai 2025</w:t>
      </w:r>
    </w:p>
    <w:p>
      <w:r>
        <w:t>Bundesgericht, 2025-05-09, DE</w:t>
      </w:r>
    </w:p>
    <w:p>
      <w:r>
        <w:rPr>
          <w:b/>
        </w:rPr>
        <w:t xml:space="preserve">Quelle: </w:t>
      </w:r>
      <w:r>
        <w:t>https://mcp.opencaselaw.ch/entscheid/bger_9C_655_2024</w:t>
      </w:r>
    </w:p>
    <w:p>
      <w:r>
        <w:t>FR: TF 9C 655/2024 du 9 mai 2025</w:t>
      </w:r>
    </w:p>
    <w:p>
      <w:r>
        <w:t>IT: TF 9C 655/2024 del 9 maggio 2025</w:t>
      </w:r>
    </w:p>
    <w:p>
      <w:pPr>
        <w:pStyle w:val="Heading2"/>
      </w:pPr>
      <w:r>
        <w:t>Regeste</w:t>
      </w:r>
    </w:p>
    <w:p>
      <w:r>
        <w:t>Staats- und Gemeindesteuern des Kantons Zürich sowie direkte Bundessteuern, Steuerperioden 2015 und 2016 | Öffentliche Finanzen &amp; Abgaberecht</w:t>
      </w:r>
    </w:p>
    <w:p>
      <w:pPr>
        <w:pStyle w:val="Heading2"/>
      </w:pPr>
      <w:r>
        <w:t>Erwägungen</w:t>
      </w:r>
    </w:p>
    <w:p>
      <w:r>
        <w:rPr>
          <w:b/>
        </w:rPr>
        <w:t>E. 1.1</w:t>
      </w:r>
    </w:p>
    <w:p>
      <w:r>
        <w:t>Die Beschwerde in öffentlich-rechtlichen Angelegenheiten ist gemäss Art. 82 ff. BGG in Verbindung mit Art. 146 DBG (SR 642.11) sowie Art. 73 StHG (SR 642.14) zulässig. Die Beschwerdeführenden sind gestützt auf Art. 89 Abs. 1 BGG zur Beschwerde in öffentlich-rechtlichen Angelegenheiten legitimiert. Auf die frist- und formgerecht eingereichte Beschwerde ist einzutreten ( Art. 42 und 100 BGG ).</w:t>
      </w:r>
    </w:p>
    <w:p>
      <w:r>
        <w:rPr>
          <w:b/>
        </w:rPr>
        <w:t>E. 1.2</w:t>
      </w:r>
    </w:p>
    <w:p>
      <w:r>
        <w:t>Mit dem Antrag auf Aufhebung des angefochtenen Urteils und Gutheissung der Einsprache vom 29. September 2023 stellen die Beschwerdeführenden einen rechtsgenüglichen Antrag ( Art. 107 Abs. 1 BGG ), würde doch mit dessen Gutheissung der Rechtsstreit in ihrem Sinne geregelt und das mit der Beschwerde angestrebte Ziel, individuell besteuert zu werden und keine Nachsteuern bezahlen zu müssen, erreicht. Wenn die Beschwerdeführenden jedoch zusätzlich verlangen, es sei festzustellen, dass während der Steuerjahre 2015 und 2016 die Voraussetzungen der getrennten Ehepaarbesteuerung vorgelegen hätten, so fehlt es ihnen an dem für ein Feststellungsbegehren vorausgesetzten schutzwürdigen Feststellungsinteresse, da ihr angestrebtes Ziel mit einem Leistungs- bzw. einem Gestaltungsbegehren erreicht werden kann (zur Subsidiarität von Feststellungsbegehren vgl. BGE 137 II 199 E. 6.5; 126 II 300 E. 2b f.; Urteile 2C_315/2017 vom 26. März 2018 E. 1.1.2; 2C_620/2016 vom 30. November 2016 E. 1.2). Auf den Feststellungsantrag ist daher nicht einzutreten.</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zudem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150 II 346 E. 1.5.3 ; 147 I 73 E. 2.1; 143 II 283 E. 1.2.2). Auf bloss allgemein gehaltene, appellatorische Kritik an einem vorinstanzlichen Entscheid geht das Bundesgericht nicht ein (auch dazu BGE 147 IV 73 E. 4.1.2; 146 IV 114 E. 2.1).</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substanziiert darzulegen, weswegen diese Voraussetzungen gegeben sein sollen; wird sie dieser Anforderung nicht gerecht, bleibt es beim vorinstanzlich festgestellten Sachverhalt (vgl. BGE 147 I 73 E. 2.2; 140 III 16 E. 1.3.1). II. Rechtliches Gehör</w:t>
      </w:r>
    </w:p>
    <w:p>
      <w:r>
        <w:rPr>
          <w:b/>
        </w:rPr>
        <w:t>E. 3</w:t>
      </w:r>
    </w:p>
    <w:p>
      <w:r>
        <w:t>Die Beschwerdeführenden monieren eine willkürliche Beweiswürdigung durch die Vorinstanz. Diese habe die von ihnen offerierten Beweise zu ihren Ungunsten willkürlich antizipiert gewürdigt. So sei einzig der Beschwerdeführer im Zusammenhang mit der Frage nach seinem Wohnsitz persönlich angehört worden. Weitere Personen, die seinen Wohnsitz im Fürstentum Liechtenstein während der betreffenden Periode hätten bestätigen können - darunter insbesondere die Beschwerdeführerin und die damalige Partnerin des Beschwerdeführers - seien jedoch nicht einvernommen worden.</w:t>
      </w:r>
    </w:p>
    <w:p>
      <w:r>
        <w:rPr>
          <w:b/>
        </w:rPr>
        <w:t>E. 3.1</w:t>
      </w:r>
    </w:p>
    <w:p>
      <w:r>
        <w:t>Dem Anspruch auf rechtliches Gehör ( Art. 29 Abs. 2 BV )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147 IV 534 E. 2.5.1; 144 II 427 E. 3.1.3 ; 141 I 60 E. 3.3 ; 136 I 229 E. 5.3; Urteil 1C_467/2024 vom 24. März 2025 E. 5.4, zur Publikation vorgesehen).</w:t>
      </w:r>
    </w:p>
    <w:p>
      <w:r>
        <w:rPr>
          <w:b/>
        </w:rPr>
        <w:t>E. 3.2</w:t>
      </w:r>
    </w:p>
    <w:p>
      <w:r>
        <w:t>Die Vorinstanz hat in ihrem Urteil erläutert, weshalb sie auf die Befragung der von den Beschwerdeführenden zur Zeugeneinvernahme vorgeschlagenen Personen verzichtet hat. So kam sie zum Schluss, dass aufgrund des gewöhnlichen Aufenthaltsortes der damals minderjährigen Kinder des Beschwerdeführers in U.________ gewichtige Beziehungen zu diesem Ort bestanden hätten. Daneben deutete sowohl der Arbeitsort, der sich nur 15 Autominuten von U.________ entfernt befinde (im Gegensatz zu 80 Autominuten von V.________) als auch die Tatsache, dass der Beschwerdeführer in V.________ alleine gewohnt und dort nur vereinzelt lose kollegiale Kontakte gepflegt habe, stark auf die Beibehaltung des Wohnsitzes in U.________ hin. Die zur Zeugeneinvernahme vorgeschlagenen Personen, die gemäss den Beschwerdeführenden Zeugnis über die Anwesenheit des beschwerdeführenden Ehemannes in Liechtenstein abgeben könnten, seien deshalb nicht einvernommen worden, weil sie alle in der Schweiz wohnen würden. Es sei demzufolge nicht einsichtig, inwiefern diese Zeugnis über die effektive Anwesenheit des Beschwerdeführers in Liechtenstein geben könnten.</w:t>
      </w:r>
    </w:p>
    <w:p>
      <w:r>
        <w:rPr>
          <w:b/>
        </w:rPr>
        <w:t>E. 3.3</w:t>
      </w:r>
    </w:p>
    <w:p>
      <w:r>
        <w:t>Aus der schlüssigen Begründung der Vorinstanz geht hervor, dass diese sich allein aus den Akten ein für ihr Urteil ausreichendes Bild des Sachverhalts machen konnte. Entsprechend durfte sie auf eine Befragung der von den Beschwerdeführenden zur Zeugeneinvernahme vorgeschlagenen Personen verzichten. Nach dem Gesagten erfolgte durch die willkürfreie antizipierte Beweiswürdigung der Vorinstanz keine Verletzung des rechtlichen Gehörs ( Art. 29 Abs. 2 BV ) der Beschwerdeführenden. III. Direkte Bundessteuer</w:t>
      </w:r>
    </w:p>
    <w:p>
      <w:r>
        <w:rPr>
          <w:b/>
        </w:rPr>
        <w:t>E. 4</w:t>
      </w:r>
    </w:p>
    <w:p>
      <w:r>
        <w:t>Für die Jahre 2015 und 2016 wurden den verheirateten Beschwerdeführenden mit Verfügung vom 18. August 2023 Nachsteuern - und dem Ehemann zusätzlich Bussen - auferlegt. Das Steueramt kam in dieser Verfügung zum Schluss, der Ehemann habe nie Wohnsitz in Liechtenstein begründet, sondern dessen Wohnsitz habe nach wie vor in U.________/ZH gelegen, weshalb die Eheleute für die Steuerperioden 2015 und 2016 gemeinsam zu besteuern seien. Streitig und zu prüfen ist, ob die Vorinstanz Bundesrecht verletzte, indem sie besagte Verfügung bestätigte.</w:t>
      </w:r>
    </w:p>
    <w:p>
      <w:r>
        <w:rPr>
          <w:b/>
        </w:rPr>
        <w:t>E. 4.1</w:t>
      </w:r>
    </w:p>
    <w:p>
      <w:r>
        <w:t>Vorab ist zu klären, ob sich der Lebensmittelpunkt des beschwerdeführenden Ehemannes in den Steuerperioden 2015 und 2016 im Fürstentum Liechtenstein befand oder ob er für die genannten Steuerperioden aufgrund persönlicher Zugehörigkeit weiterhin der Steuerpflicht des Kantons Zürich unterlag.</w:t>
      </w:r>
    </w:p>
    <w:p>
      <w:r>
        <w:rPr>
          <w:b/>
        </w:rPr>
        <w:t>E. 4.1.1</w:t>
      </w:r>
    </w:p>
    <w:p>
      <w:r>
        <w:t>Gemäss Art. 3 Abs. 1 DBG sind natürliche Personen aufgrund persönlicher Zugehörigkeit steuerpflichtig, wenn sie ihren steuerrechtlichen Wohnsitz oder Aufenthalt in der Schweiz haben. Art. 3 Abs. 2 DBG präzisiert, dass eine Person einen steuerrechtlichen Wohnsitz in der Schweiz hat, wenn sie sich hier mit der Absicht dauernden Verbleibs aufhält oder wenn ihr das Bundesrecht einen besonderen gesetzlichen Wohnsitz zuweist. Obwohl Art. 3 Abs. 1 und 2 DBG zur Umschreibung des steuerlichen Wohnsitzes nicht auf den zivilrechtlichen Wohnsitz verweisen, lehnt sich der steuerrechtliche Wohnsitz an den Wohnsitzbegriff des Zivilgesetzbuches an ( BGE 150 II 244 E. 5.1; vgl. auch BGE 148 II 285 E. 3.2.1; 143 II 233 E. 2.5.1; 138 II 300 E. 3.3; Botschaft StHG/DBG, BBl 1983 III 86 und 155).</w:t>
      </w:r>
    </w:p>
    <w:p>
      <w:r>
        <w:rPr>
          <w:b/>
        </w:rPr>
        <w:t>E. 4.1.2</w:t>
      </w:r>
    </w:p>
    <w:p>
      <w:r>
        <w:t>Nach ständiger bundesgerichtlicher Rechtsprechung ist das Kriterium der Absicht dauernden Verbleibens in Art. 23 Abs. 1 ZGB , Art. 3 Abs. 2 DBG und Art. 3 Abs. 2 StHG nicht so zu verstehen, als dass es auf den inneren Willen der steuerpflichtigen Person ankäme. Der Wohnsitz bestimmt sich vielmehr alleine nach der Gesamtheit der objektiven, für Dritte erkennbaren Tatsachen, in denen sich eine Absicht dauernden Verbleibens der betroffenen Person manifestiert (vgl. grundlegend BGE 97 II 1 E. 3; vgl. auch BGE 148 II 285 E. 3.2.2; 143 II 233 E. 2.5.2; 138 II 300 E. 3.2; 137 II 122 E. 3.6).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150 II 244 E. 5.2; 148 II 285 E. 3.2.2; 136 II 405 E. 4.3; 120 III 7 E. 2a; 97 II 1 E. 3).</w:t>
      </w:r>
    </w:p>
    <w:p>
      <w:r>
        <w:rPr>
          <w:b/>
        </w:rPr>
        <w:t>E. 4.1.3</w:t>
      </w:r>
    </w:p>
    <w:p>
      <w:r>
        <w:t>Pflegt eine Person Kontakte zu mehreren Orten, ist für die Bestimmung des steuerrechtlichen Wohnsitzes darauf abzustellen, zu welchem Ort sie die stärkeren Beziehungen unterhält ( BGE 150 II 244 E. 5.3; 148 II 285 E. 3.2.3; 138 II 300 E. 3.2 ; 132 I 29 E. 4); die steuerpflichtige Person kann nicht an mehreren Orten zugleich Wohnsitz haben ( BGE 138 II 300 E. 3.3). Für eine Wohnsitzverlegung ins Ausland genügt es nicht, die Verbindungen zum bisherigen Wohnsitz zu lösen. Entscheidend ist vielmehr, dass die steuerpflichtige Person überwiegende Beziehungen zum neuen Ort etabliert hat und diese bei einer gesamthaften Betrachtung wichtiger erscheinen als jene zum alten Wohnsitz ( BGE 150 II 244 E. 5.6.5; vgl. auch 138 II 300 E. 3.6.3; Urteil 2C_510/2016 vom 29 August 2016 E. 2.3).</w:t>
      </w:r>
    </w:p>
    <w:p>
      <w:r>
        <w:rPr>
          <w:b/>
        </w:rPr>
        <w:t>E. 4.2</w:t>
      </w:r>
    </w:p>
    <w:p>
      <w:r>
        <w:t>Während die Beschwerdeführenden vorbringen, der Ehemann sei als Folge ihrer Trennung im Jahr 2015 nach V.________ im Fürstentum Liechtenstein umgezogen, verortet die Vorinstanz den Lebensmittelpunkt des beschwerdeführenden Ehemannes für die betreffenden Steuerperioden in U.________/ZH.</w:t>
      </w:r>
    </w:p>
    <w:p>
      <w:r>
        <w:rPr>
          <w:b/>
        </w:rPr>
        <w:t>E. 4.2.1</w:t>
      </w:r>
    </w:p>
    <w:p>
      <w:r>
        <w:t>Vorliegend ergeben sich aus den - für das Bundesgericht verbindlichen ( Art. 105 Abs. 1 BGG ) - vorinstanzlichen Feststellungen zahlreiche Hinweise darauf, dass sich der Lebensmittelpunkt des beschwerdeführenden Ehemannes während den hier interessierenden Steuerjahren überwiegend in U.________/ZH befand. Nach der Trennung von seiner Ehefrau erwarb der beschwerdeführende Ehemann im März 2015 in V.________ eine Eigentumswohnung, die 3½-Zimmer umfasste. Diese bewohnte er alleine; seine damalige Partnerin wohnte in der betreffenden Zeit in der Schweiz und die gemeinsamen Kinder der Beschwerdeführenden hatten ihren Wohnsitz nach deren Trennung weiterhin im elterlichen Wohnhaus in U.________/ZH. Nach Angaben des Beschwerdeführers benötigte er keine grössere Wohnung um seine Kinder zu beherbergen, da er selbst häufig in U.________ übernachtete und dort auch seine Kinder sehen konnte wann immer er wollte. In der Wohnung in V.________ standen den Kindern demgegenüber lediglich behelfsmässige Übernachtungsmöglichkeiten in Form von Auszugssofas/Klappbetten zur Verfügung. Zwar pflegte der Beschwerdeführer in V.________ kollegiale Kontakte namentlich zu seinen Wohnungsnachbarn, allerdings waren diese lose und soweit ersichtlich auch die einzigen bestehenden Kontakte zu in Liechtenstein wohnhaften Personen. Die übrigen von den Beschwerdeführenden angegebenen Personen, die Willens seien, Zeugnis über die Anwesenheit des beschwerdeführenden Ehemannes in V.________ abzugeben, wohnen in der Schweiz. Weiter hat die Vorinstanz festgestellt, dass der Beschwerdeführer im Rahmen seiner selbständigen Erwerbstätigkeit bis heute über ein Büro in W.________/ZH verfügt, welches er auch in den Jahren 2015 und 2016 am selben Ort unterhielt. Verschiedene Gesellschaften des beschwerdeführenden Ehemannes hatten und haben ihren Sitz an der Adresse des erwähnten Büros in Neftenbach. Dieses befindet sich lediglich 15 Autominuten von U.________, jedoch 80 Autominuten von V.________ entfernt.</w:t>
      </w:r>
    </w:p>
    <w:p>
      <w:r>
        <w:rPr>
          <w:b/>
        </w:rPr>
        <w:t>E. 4.2.2</w:t>
      </w:r>
    </w:p>
    <w:p>
      <w:r>
        <w:t>Sowohl seine familiären Beziehungen als auch sein Arbeitsort deuten daraufhin, dass der beschwerdeführende Ehemann seinen Lebensmittelpunkt in den Steuerjahren 2015 und 2016 weiterhin in U.________/ZH hatte. Für einen Wohnsitz in V.________ sprechen dagegen lediglich die Tatsache, dass der Beschwerdeführer dort über eine Eigentumswohnung verfügt und Bekanntschaft in seiner Nachbarschaft gemacht hat. Um von einer Wohnsitzbegründung im Ausland auszugehen, müssen nicht sämtliche Beziehungen zum bisherigen Wohnsitz endgültig gelöst werden. Jedoch ist es nötig, dass die steuerpflichtige Person überwiegende Beziehungen zum neuen Ort etabliert hat und diese bei einer gesamthaften Betrachtung wichtiger erscheinen als jene zum alten Wohnsitz (vgl. E. 4.1.3). Dies trifft nach dem Gesagten auf den beschwerdeführenden Ehemann nicht zu. Bundesrechtlich ist damit nicht zu beanstanden, dass die Vorinstanz davon ausging, der beschwerdeführende Ehemann habe in den Jahren 2015 und 2016 Steuerwohnsitz in U.________/ZH gehabt.</w:t>
      </w:r>
    </w:p>
    <w:p>
      <w:r>
        <w:rPr>
          <w:b/>
        </w:rPr>
        <w:t>E. 4.3</w:t>
      </w:r>
    </w:p>
    <w:p>
      <w:r>
        <w:t>Unter diesen Umständen ist auf die weiteren Voraussetzungen, welche für eine getrennte Besteuerung von Ehegatten abweichend von Art. 9 Abs. 1 DBG kumulativ vorliegen müssten (Urteile 9C_277/2024 vom 27. Mai 2024 E. 3.2; 9C_545/2023 vom 19. Dezember 2023 E. 3.6.1; 9C_249/2023 vom 2. August 2023 E. 2.2), nicht mehr weiter einzugehen. IV. Staats- und Gemeindesteuern</w:t>
      </w:r>
    </w:p>
    <w:p>
      <w:r>
        <w:rPr>
          <w:b/>
        </w:rPr>
        <w:t>E. 5</w:t>
      </w:r>
    </w:p>
    <w:p>
      <w:r>
        <w:t>Der Wohnsitzbegriff des kantonalen Steuerrechts ( § 3 Abs. 2 StG /ZH) stimmt mit A rt. 3 Abs. 2 DBG überein. Er ist zudem durch Art. 3 Abs. 2 StHG umfassend harmonisiert. Es kann folglich auf die vorstehenden Erwägungen zur direkten Bundessteuer verwiesen werden. Die Beschwerde erweist sich damit auch hinsichtlich der Staats- und Gemeindesteuern als unbegründet und ist abzuweisen. V. Verfahrensausgang, Kosten und Entschädigung</w:t>
      </w:r>
    </w:p>
    <w:p>
      <w:r>
        <w:rPr>
          <w:b/>
        </w:rPr>
        <w:t>E. 6</w:t>
      </w:r>
    </w:p>
    <w:p>
      <w:r>
        <w:t>Die Beschwerde ist sowohl betreffend die direkte Bundessteuer als auch die Staats- und Gemeindesteuern unbegründet; sie ist abzuweisen. Ausgangsgemäss tragen die Beschwerdeführenden die Kosten des bundesgerichtlichen Verfahrens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