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9C_655/2013 vom 23. September 2014</w:t>
      </w:r>
    </w:p>
    <w:p>
      <w:r>
        <w:t>Bundesgericht, 2014-09-23, DE</w:t>
      </w:r>
    </w:p>
    <w:p>
      <w:r>
        <w:rPr>
          <w:b/>
        </w:rPr>
        <w:t xml:space="preserve">Quelle: </w:t>
      </w:r>
      <w:r>
        <w:t>https://mcp.opencaselaw.ch/entscheid/bger_9C_655_2013</w:t>
      </w:r>
    </w:p>
    <w:p>
      <w:r>
        <w:t>FR: TF 9C_655/2013 du 23 septembre 2014</w:t>
      </w:r>
    </w:p>
    <w:p>
      <w:r>
        <w:t>IT: TF 9C_655/2013 del 23 settembre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Streitgegenstand bildet die Frage der Erhöhung der bisher ausgerichteten halben IV-Rente. Die Beschwerdeführerin rügt, die Vorinstanz habe unter Verletzung von Bundesrecht auf ein unvollständiges Gutachten von Frau Dr. med. B.________ abgestellt. Der behandelnde Arzt Dr. med. D.________, Facharzt FMH für Neurologie, Klinik E.________, habe im Bericht vom 22. Dezember 2010 von einem ungünstigen Krankheitsverlauf gesprochen und die Arbeitsunfähigkeit bei 100 % belassen. Dr. med. F.________, Facharzt FMH für Neurologie, habe am 7. Oktober 2011 bestätigt, dass die Patientin bis zwei Mal wöchentlich eine heftige Schmerzexazerbation oder eine Paraparese bis Paraplegie erleiden müsse. Die Annahme einer Arbeitsfähigkeit von 50 % sei unrealistisch. Die Beschwerdeführerin leide an einem wellenförmigen Verlauf mit immer wieder starken Schmerzschüben. Im rheumatologischen Gutachten finde eine Auseinandersetzung mit diesem Phänomen nicht statt, weshalb es in einem wesentlichen Punkt unvollständig sei und darauf nicht abgestellt werden könne. Tatsache sei, dass die Beschwerdeführerin einem normalen Arbeitgeber gar nicht zumutbar wäre, denn sie sei leidensbedingt nicht in der Lage, plan- und regelmässig an einem Arbeitsplatz zu erscheinen. Zudem habe das kantonale Gericht bezüglich der gegebenen bzw. fehlenden Achillessehnenreflexe die Diskrepanz in den Erhebungen der Frau Dr. med. B.________ und des Dr. med. F.________ als unwesentlich verworfen. Aber gerade bei Annahme der Richtigkeit beider Erhebungen würde der progrediente Verlauf bestätigt.</w:t>
      </w:r>
    </w:p>
    <w:p>
      <w:r>
        <w:rPr>
          <w:b/>
        </w:rPr>
        <w:t>E. 3</w:t>
      </w:r>
    </w:p>
    <w:p>
      <w:r>
        <w:t>Das rheumatologische Administrativgutachten der Frau Dr. med. B.________ äussert sich nicht zu den die Arbeitsfähigkeit limitierenden Auswirkungen der wellenförmig verlaufenden Schmerzattacken der Beschwerdeführerin, welcher nach sechs Eingriffen an der LWS immerhin eine Schmerzmittelpumpe implantiert wurde. Dies allein verstösst schon gegen die rechtsprechungsgemäss gestellten formalen Anforderungen an eine beweiskräftige Expertise. Die Vorinstanz versucht diesen Mangel mit dem Hinweis zu retten, die Beschwerdeführerin habe laut der Gutachterin Frau Dr. med. B.________ auf der Untersuchungsliege spontan den Langsitz einnehmen können, was eine wesentliche Kompression lumbaler Schmerzen ausschliesse. Dieser Interpretation steht aber der bisher nicht widerlegte Einwand im Wege, wonach das Untersuchungsergebnis durch die Morphin-Abhängigkeit verfälscht worden sei, die Dr. med. B.________ selber feststellte und deren Therapierung sie postulierte. Nach der Rechtsprechung verletzt die Beweiswürdigung des kantonalen Gerichts, welche aus einem zwei Bedeutungen zulassenden Dokument auf die eine schliesst, ohne Abklärungen zu treffen, Bundesrecht (Urteil 9C_85/2009 vom 15. März 2010 E. 3.5). Die Sache ist an die Vorinstanz zurückzuweisen, damit sie ein die gestellten Fragen klärendes Ergänzungsgutachten einholt.</w:t>
      </w:r>
    </w:p>
    <w:p>
      <w:r>
        <w:rPr>
          <w:b/>
        </w:rPr>
        <w:t>E. 4</w:t>
      </w:r>
    </w:p>
    <w:p>
      <w:r>
        <w:t>Dem Ausgang des Verfahrens entsprechend sind die Gerichtskosten der Beschwerdegegnerin aufzuerlegen ( Art. 66 Abs. 1 BGG ). Die Beschwerdeführerin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