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9C_655/2012 vom 29. November 2012</w:t>
      </w:r>
    </w:p>
    <w:p>
      <w:r>
        <w:t>Bundesgericht, 2012-11-29, DE</w:t>
      </w:r>
    </w:p>
    <w:p>
      <w:r>
        <w:rPr>
          <w:b/>
        </w:rPr>
        <w:t xml:space="preserve">Quelle: </w:t>
      </w:r>
      <w:r>
        <w:t>https://mcp.opencaselaw.ch/entscheid/bger_9C_655_2012</w:t>
      </w:r>
    </w:p>
    <w:p>
      <w:r>
        <w:t>FR: TF 9C_655/2012 du 29 novembre 2012</w:t>
      </w:r>
    </w:p>
    <w:p>
      <w:r>
        <w:t>IT: TF 9C_655/2012 del 29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ficht die vorinstanzliche Invaliditätsbemessung ( Art. 16 ATSG in Verbindung mit Art. 28a Abs. 1 und Art. 28 Abs. 2 IVG ) lediglich bezüglich des Valideneinkommens (dazu E. 2) und des Abzuges vom Invalideneinkommen (dazu E. 3) an.</w:t>
      </w:r>
    </w:p>
    <w:p>
      <w:r>
        <w:t>Von vornherein nicht gefolgt werden kann der Beschwerde insoweit, als sie unterstellt, die Vorinstanz sei im Teilbereich Haushalt von einem (gewichteten) Teilinvaliditätsgrad von 15 % ausgegangen, weshalb sich selbst bei leidensbedingten Abzügen von lediglich 10 % bis 20 % ein Gesamtinvaliditätsgrad von über 40 % ergebe. Richtig ist vielmehr, dass das kantonale Gericht den Abklärungsbericht vom 5. August 2010, welcher eine Einschränkung von 21,5 % und (mit dem Faktor 0,4 gewichtet) 8,6 % ergab, nicht beanstandete und nur im Sinne einer Eventualbegründung erwog, selbst bei Hinzurechnung des auf 15 ungewichtete Prozentpunkte festgesetzten Maximalansatzes gemäss der Rechtsprechung BGE 134 V 9 würde eine Einschränkung im Haushaltsbereich von 36,5 % resultieren, was bei einem 40%igen Anteil der Haushaltsarbeit einen Teilinvaliditätsgrad von rund 15 % bzw. einen rentenausschliessenden Gesamtinvaliditätsgrad von 36 % (21 % + 15 %) ergeben würde. Daran ist das Bundesgericht nicht gebunden, zumal die Voraussetzungen für die Anerkennung von Wechselwirkungen gemäss BGE 134 V 9 E. 7.3 S. 12 ff. offensichtlich nicht gegeben sind. In der Tat ist nicht ersichtlich, dass und inwiefern die Beschwerdeführerin durch Ausübung einer halbtägigen Erwerbsarbeit in der Besorgung ihres 2-Personen-Haushaltes mit ihrem Ehemann zusätzlich beeinträchtigt wäre (BGE a.a.O., E. 7.3.5 S. 14). Daher ist im Folgenden von einer Einschränkung im Haushalt von 21,5 % oder gewichtet 8,6 % auszugehen.</w:t>
      </w:r>
    </w:p>
    <w:p>
      <w:r>
        <w:rPr>
          <w:b/>
        </w:rPr>
        <w:t>E. 2</w:t>
      </w:r>
    </w:p>
    <w:p>
      <w:r>
        <w:t>Hinsichtlich des Valideneinkommens ist die Vorinstanz davon ausgegangen, die Beschwerdeführerin würde für ihre Tätigkeit bei der Bank X.________ seit dem 1. April 2010 ein Jahressalär von Fr. 11'530.- beziehen. Diese Feststellung wird in der Beschwerde zu Recht als offensichtlich unrichtig ( Art. 97 Abs. 1, Art. 105 Abs. 2 BGG ) gerügt, handelt es sich doch hiebei offensichtlich um die nach Beginn der Arbeitsunfähigkeit im Dezember 2009 bezogenen Krankentaggelder, die rund 80 % der 2008 (Fr. 14'231.45) und 2009 (Fr. 14'965.90) von der Bank X.________ bezogenen Löhne ausmachen. Aller Wahrscheinlichkeit nach hätte die Beschwerdeführerin im Gesundheitsfall im 2010 - dem Jahr des potenziellen Rentenbeginnes (E. 4 hienach) - zumindest nominal gleich viel verdient wie im Vorjahr, sodass sich das hypothetische Valideneinkommen 2010 auf Fr. 36'093.60 beläuft, wie in der Beschwerde richtig vorgebracht wird (Bank X.________: Fr. 14'965.90 zuzüglich Firma M.________: Fr. 20'735.- = Fr. 35'700.90, aufgewertet mit 1,1 % gemäss Schweizerischem Lohnindex des Bundesamtes für Statistik).</w:t>
      </w:r>
    </w:p>
    <w:p>
      <w:r>
        <w:rPr>
          <w:b/>
        </w:rPr>
        <w:t>E. 3</w:t>
      </w:r>
    </w:p>
    <w:p>
      <w:r>
        <w:t>Wie in der Beschwerde weiter zutreffend geltend gemacht wird, hat die Vorinstanz den von ihr auf 5 % festgesetzten Abzug einzig unter Berücksichtigung der für die in Frage kommenden Tätigkeiten laut Einschätzung der Ärzte nicht wesentlich einschränkenden körperlichen Behinderung begründet. Damit hat die Vorinstanz sämtliche weiteren massgeblichen Kriterien ( BGE 126 V 75 ) unberücksichtigt gelassen, weshalb das Bundesgericht an diese Schätzung nicht gebunden ist ( Art. 105 Abs. 2 BGG ). Im Falle der Beschwerdeführerin sind diese Kriterien in erheblicher Weise erfüllt: behinderungsbedingte Einschränkungen, Alter (59 Jahre), lange Betriebszugehörigkeit bei ausschliesslicher Tätigkeit als Hilfs- oder Reinigungsarbeiterin mit körperlicher Schwerarbeit, ohne, wie Vorinstanz und Beschwerdegegnerin ausdrücklich anerkennen, Möglichkeit zu anderweitiger Integration im Arbeitsmarkt. Die volle Erfüllung der massgeblichen Kriterien rechtfertigt einen Abzug von 25 %. Das Invalideneinkommen vermindert sich daher von Fr. 22'314.- auf Fr. 16'735.50. Im Verhältnis zum Valideneinkommen von Fr. 36'093.60 beläuft sich die Erwerbseinbusse auf Fr. 19'358.10, was einem Teilinvaliditätsgrad von 53,63 % und (mit dem Faktor 0,6 gewichtet) 32,17 % ergibt. Zusammen mit den 8,6 % aus dem Haushaltsbereich wird der Mindestinvaliditätsgrad von 40 % erreicht, was der Beschwerdeführerin den Anspruch auf eine Viertels-Invalidenrente begründet.</w:t>
      </w:r>
    </w:p>
    <w:p>
      <w:r>
        <w:rPr>
          <w:b/>
        </w:rPr>
        <w:t>E. 4</w:t>
      </w:r>
    </w:p>
    <w:p>
      <w:r>
        <w:t>Mit Blick auf den Beginn der Wartezeit im Dezember 2009 und unter Berücksichtigung der Anmeldung vom März 2010 ist der Anspruch auf die Rente am 1. Dezember 2010 entstanden ( Art. 28 Abs. 1 lit. b und Art. 29 Abs. 1 IVG ).</w:t>
      </w:r>
    </w:p>
    <w:p>
      <w:r>
        <w:rPr>
          <w:b/>
        </w:rPr>
        <w:t>E. 5</w:t>
      </w:r>
    </w:p>
    <w:p>
      <w:r>
        <w:t>Bei diesem Verfahrensausgang hat die Beschwerdegegnerin die Gerichtskosten zu tragen ( Art. 66 Abs. 1 BGG ). Ferner hat sie der Beschwerdeführerin für das letztinstanzliche Verfahren eine Parteientschädigung zu bezahlen ( Art. 68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