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9C_654/2024 vom 25. November 2024</w:t>
      </w:r>
    </w:p>
    <w:p>
      <w:r>
        <w:t>Bundesgericht, 2024-11-25, DE</w:t>
      </w:r>
    </w:p>
    <w:p>
      <w:r>
        <w:rPr>
          <w:b/>
        </w:rPr>
        <w:t xml:space="preserve">Quelle: </w:t>
      </w:r>
      <w:r>
        <w:t>https://mcp.opencaselaw.ch/entscheid/bger_9C_654_2024</w:t>
      </w:r>
    </w:p>
    <w:p>
      <w:r>
        <w:t>FR: TF 9C_654/2024 du 25 novembre 2024</w:t>
      </w:r>
    </w:p>
    <w:p>
      <w:r>
        <w:t>IT: TF 9C_654/2024 del 25 novembre 2024</w:t>
      </w:r>
    </w:p>
    <w:p>
      <w:pPr>
        <w:pStyle w:val="Heading2"/>
      </w:pPr>
      <w:r>
        <w:t>Erwägungen</w:t>
      </w:r>
    </w:p>
    <w:p>
      <w:r>
        <w:rPr>
          <w:b/>
        </w:rPr>
        <w:t>E. 1.1</w:t>
      </w:r>
    </w:p>
    <w:p>
      <w:r>
        <w:t>Das Verwaltungsgericht des Kantons Zug setzte mit Verfügung vom 7. Oktober 2024 A.________ mit Verweis auf § 26 Abs. 1 des Gesetzes vom 1. April 1976 des Kantons Zug über den Rechtsschutz in Verwaltungssachen (Verwaltungsrechtspflegegesetz; VRG/ZG; BGS 162.1) Frist zur Leistung eines Kostenvorschusses von Fr. 500.- ansonsten das Verfahren betreffend Alters- und Hinterlassenenversicherung (Einkommenssplitting) abgeschrieben werde.</w:t>
      </w:r>
    </w:p>
    <w:p>
      <w:r>
        <w:rPr>
          <w:b/>
        </w:rPr>
        <w:t>E. 1.2</w:t>
      </w:r>
    </w:p>
    <w:p>
      <w:r>
        <w:t>Gegen diese Verfügung erhebt A.________ (nachfolgend: Beschwerdeführerin) mit Eingabe vom 15. November 2024 Beschwerde in öffentlich-rechtlichen Angelegenheiten an das Bundesgericht.</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2.3</w:t>
      </w:r>
    </w:p>
    <w:p>
      <w:r>
        <w:t>Den genannten Anforderungen an eine substantiierte Rüge genügen die Ausführungen der Beschwerdeführerin offensichtlich nicht. Die Beschwerdeführerin macht sinngemäss geltend, es drohe ihr ein nicht wiedergutzumachender Nachteil, wenn das Gericht ihr Anliegen nicht behandle. Sie setzt sich aber nicht in genügender Weise mit der ihr angesetzten Frist zur Leistung eines Kostenvorschusses auseinander.</w:t>
      </w:r>
    </w:p>
    <w:p>
      <w:r>
        <w:rPr>
          <w:b/>
        </w:rPr>
        <w:t>E. 3</w:t>
      </w:r>
    </w:p>
    <w:p>
      <w:r>
        <w:t>Auf die Beschwerde ist mangels offensichtlich hinreichender Begründung in der Sache im vereinfachten Verfahren durch Entscheid des Abteilungspräsidenten nach Art. 108 Abs. 1 lit. b BGG nicht einzutreten. Umständehalber wird in Anwendung von Art. 66 Abs. 1 Satz 2 BGG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