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9C_653/2014 vom 6. März 2015</w:t>
      </w:r>
    </w:p>
    <w:p>
      <w:r>
        <w:t>Bundesgericht, 2015-03-06, DE</w:t>
      </w:r>
    </w:p>
    <w:p>
      <w:r>
        <w:rPr>
          <w:b/>
        </w:rPr>
        <w:t xml:space="preserve">Quelle: </w:t>
      </w:r>
      <w:r>
        <w:t>https://mcp.opencaselaw.ch/entscheid/bger_9C_653_2014</w:t>
      </w:r>
    </w:p>
    <w:p>
      <w:r>
        <w:t>FR: TF 9C_653/2014 du 6 mars 2015</w:t>
      </w:r>
    </w:p>
    <w:p>
      <w:r>
        <w:t>IT: TF 9C_653/2014 del 6 marzo 2015</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erwog, eine Rentenrevision gestützt auf die SchlB IVG falle gemäss BGE 139 V 547 E. 10.1 S. 568 f. nicht in Betracht. Zwar sei die Rentenzusprache vorwiegend aufgrund der psychiatrischen Diagnose einer anhaltenden somatoformen Schmerzstörung (ICD-10: F45.4) erfolgt, daneben hätten aber auch somatischen Beschwerden mit Einschränkung auf die Arbeitsfähigkeit (u.a. eine chronische Arthritis beider Sakroiliakalgelenke) bestanden. Jedoch sei zu prüfen, ob die Voraussetzungen für eine Revision gemäss Art. 17 ATSG erfüllt seien. In somatischer Hinsicht sei mit Blick auf das Gutachten des Dr. med. D.________, wonach weitestgehend unveränderte klinische Befunde im Vergleich zum Vorgutachten des Rheumatologen Dr. med. B.________ festgestellt worden seien, von einem im Wesentlichen unverändert gebliebenen Sachverhalt auszugehen. Hingegen bestünden in psychischer Hinsicht gemäss Dr. med. E.________ keine Hinweise für eine depressive Störung (Anpassungsstörung) mehr, womit es seit der letzten Begutachtung überwiegend wahrscheinlich zu einer Remission dieser Beschwerden gekommen sei. Ferner diagnostiziere Dr. med. E.________ eine chronische Schmerzstörung mit somatischen und psychischen Faktoren (F45.41), welcher er keine Auswirkung auf die Arbeitsfähigkeit beimesse. Mithin bestehe aus psychiatrischer Sicht ab Datum der Untersuchung keine Einschränkung der Arbeitsfähigkeit mehr. Zusammenfassend habe sich der Gesundheitszustand insoweit deutlich verbessert, als adaptierte Tätigkeiten ab April 2013 wieder vollumfänglich zumutbar seien. Rein somatisch sei weiterhin von einer 50 %igen Arbeitsunfähigkeit in Verweistätigkeiten auszugehen. Damit resultiere gestützt auf die von der Verwaltung festgesetzten, unbestrittenen Vergleichseinkommen ein Invaliditätsgrad von 60 % bzw. - im Falle der Gewährung eines Abzugs vom Tabellenlohn von 10 % - von 64 %, womit ab 1. März 2014 noch Anspruch auf eine Dreiviertelsrente bestehe.</w:t>
      </w:r>
    </w:p>
    <w:p>
      <w:r>
        <w:rPr>
          <w:b/>
        </w:rPr>
        <w:t>E. 3.1</w:t>
      </w:r>
    </w:p>
    <w:p>
      <w:r>
        <w:t>Der von der Vorinstanz zitierte BGE 139 V 547 , welcher einer Rentenrevision gestützt auf die SchlB IVG entgegenstehe, wurde mit BGE 140 V 197 präzisiert. Nach diesem ist lit. a Abs. 1 SchlB IVG bei kombinierten Beschwerden anwendbar, wenn die unklaren und die "erklärbaren" Beschwerden - sowohl diagnostisch als auch hinsichtlich der funktionellen Folgen - auseinandergehalten werden können (E. 6.2.3). Ein organisch begründeter Teil der Arbeitsfähigkeit kann bei Anwendbarkeit der SchlB IVG nur neu beurteilt werden, sofern eine Veränderung im Sinne von Art. 17 ATSG eingetreten ist. Insoweit wird im Anwendungsbereich der SchlB IVG vom Grundsatz abgewichen, dass die Verwaltung im Rahmen einer materiellen Revision den Rentenanspruch in tatsächlicher und rechtlicher Hinsicht umfassend prüft (Urteil 9C_121/2014 vom 3. September 2014 E. 2.4.2 mit Hinweisen, publ. in: SVR 2014 IV Nr. 39 S. 137).</w:t>
      </w:r>
    </w:p>
    <w:p>
      <w:r>
        <w:rPr>
          <w:b/>
        </w:rPr>
        <w:t>E. 3.2</w:t>
      </w:r>
    </w:p>
    <w:p>
      <w:r>
        <w:t>Im vorliegenden Fall basierte die Rentenzusprache auf dem interdisziplinären Gutachten vom 4. bzw. 9. Juli 2002, in welchem aus somatischer Sicht eine 50 %ige Arbeitsfähigkeit in einer leichten bis mittelschweren Tätigkeit für gegeben erachtet wurde. Aus psychiatrischer Sicht wurde eine vollständige Arbeitsunfähigkeit auch für leichte Tätigkeiten attestiert, wofür allein die anhaltende somatoforme Schmerzstörung ausschlaggebend war (das ebenfalls diagnostizierte "depressive Syndrom" [Anpassungsstörung; F43.21] war lediglich reaktiver Natur und nicht invalidisierend). Mithin lassen sich die unklaren und die "erklärbaren" Beschwerden sowohl diagnostisch als auch hinsichtlich der funktionellen Folgen auseinanderhalten. Daher hat die Verwaltung die SchlB IVG - entgegen der Vorinstanz - zu Recht angewendet.</w:t>
      </w:r>
    </w:p>
    <w:p>
      <w:r>
        <w:t>Die in den Expertisen vom 4. Juli 2002 und 23. April 2013 gestellte Diagnose anhaltende somatoforme Schmerzstörung zählt zu den unklaren Beschwerden. Damit stellt sich im Lichte von lit. a Abs. 1 SchlB IVG in Verbindung mit Art. 7 Abs. 2 ATSG und der zugrunde liegenden Rechtsprechung die Frage, ob sich daraus eine Arbeitsunfähigkeit ableiten lässt. Die IV-Stelle hat dies in der Verfügung vom 22. Januar 2014 verneint. Sie stützt sich dabei auf das bidisziplinäre Gutachten der Dres. med. D.________ und E.________ vom 23. April 2013. Das ist nicht zu beanstanden: Weder liegt eine erhebliche Komorbidität vor, noch sind die übrigen in Betracht kommenden Gesichtspunkte in einer Weise erfüllt, welche es der betroffenen Person verunmöglichen würde, trotz der Schmerzstörung zu arbeiten (vgl. BGE 130 V 352 E. 2.2.3 S. 354 f.). Dementsprechend hat auch der psychiatrische Experte überzeugend dargelegt, dass sich aus der auf seinem Fachgebiet gestellten Diagnose keine Einschränkung der Arbeitsfähigkeit ergibt. Als invalidisierend ist daher nur die rheumatologisch bedingte Beeinträchtigung anzusehen. Zu dieser hat die Vorinstanz nicht offensichtlich unrichtig und daher für das Bundesgericht verbindlich (E. 1 hievor) festgestellt, dass sich keine Änderung ergeben hat. Unter diesen Umständen ist eine Neubeurteilung der somatischen Beschwerden, wie sie die Verwaltung vorgenommen hat, nicht zulässig (E. 3.1 hievor). Für eine Neubeurteilung unter dem Titel von Art. 17 ATSG besteht - mangels einer wesentlichen Änderung in den tatsächlichen Verhältnissen (der Wegfall der Anpassungsstörung stellt vorliegend keine solche dar) - ebenfalls keine Handhabe (Urteil 8C_237/2014 vom 21. Januar 2015 E. 2.3 und 5.2, zur Publikation bestimmt). Somit bleibt es bei der gutachterlich attestierten Arbeits (un) fähigkeit von 50 % in einer leichten bis mittelschweren Tätigkeit, wovon - im Ergebnis - auch das kantonale Gericht ausgegangen ist. Nach dem Gesagten erübrigt es sich, auf die Rügen des Beschwerdeführers einzugehen, wonach die Vorinstanz Art. 17 ATSG falsch angewendet habe.</w:t>
      </w:r>
    </w:p>
    <w:p>
      <w:r>
        <w:rPr>
          <w:b/>
        </w:rPr>
        <w:t>E. 4</w:t>
      </w:r>
    </w:p>
    <w:p>
      <w:r>
        <w:t>Der Einkommensvergleich des kantonalen Gerichts wird nicht beanstandet und gibt keinen Anlass zu Weiterungen. Damit hat es im Ergebnis beim vorinstanzlichen Entscheid sein Bewenden.</w:t>
      </w:r>
    </w:p>
    <w:p>
      <w:r>
        <w:rPr>
          <w:b/>
        </w:rPr>
        <w:t>E. 5</w:t>
      </w:r>
    </w:p>
    <w:p>
      <w:r>
        <w:t>Vom BSV als unterliegende Partei sind keine Gerichtskosten zu erheben ( Art. 66 Abs. 4 BGG ). Hingegen hat der Beschwerdegegner für das bundesgerichtliche Verfahren Anspruch auf eine Parteientschädigung ( Art. 68 Abs. 1 und 2 BGG ). Damit ist dessen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