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9C_651/2008 vom 9. Oktober 2009</w:t>
      </w:r>
    </w:p>
    <w:p>
      <w:r>
        <w:t>Bundesgericht, 2009-10-09, FR</w:t>
      </w:r>
    </w:p>
    <w:p>
      <w:r>
        <w:rPr>
          <w:b/>
        </w:rPr>
        <w:t xml:space="preserve">Quelle: </w:t>
      </w:r>
      <w:r>
        <w:t>https://mcp.opencaselaw.ch/entscheid/bger_9C_651_2008</w:t>
      </w:r>
    </w:p>
    <w:p>
      <w:r>
        <w:t>FR: TF 9C_651/2008 du 9 octobre 2009</w:t>
      </w:r>
    </w:p>
    <w:p>
      <w:r>
        <w:t>IT: TF 9C_651/2008 del 9 ottobre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du recourant à une rente d'invalidité au-delà du 31 mars 2004 (cf. art. 88a al. 1 RAI ), singulièrement sur l'existence d'une amélioration de son état de santé ou de sa capacité de gain à partir du mois de décembre 2003. A cet égard, le jugement entrepris expose correctement la norme sur la révision ( art. 17 LPGA ), qui s'applique également à la décision par laquelle l'organe de l'assurance-invalidité accorde, comme en l'espèce, une rente limitée dans le temps à titre rétroactif ( ATF 125 V 413 consid. 2d p. 417 et les références). Il suffit d'y renvoyer.</w:t>
      </w:r>
    </w:p>
    <w:p>
      <w:r>
        <w:rPr>
          <w:b/>
        </w:rPr>
        <w:t>E. 3.1</w:t>
      </w:r>
    </w:p>
    <w:p>
      <w:r>
        <w:t>Dans un premier grief d'ordre formel, le recourant reproche au Tribunal des assurances d'avoir violé son droit d'être entendu ( art. 29 al. 2 Cst. ) en rejetant la requête de mise en oeuvre d'une expertise pluridisciplinaire qu'il avait formulée en instance cantonale.</w:t>
      </w:r>
    </w:p>
    <w:p>
      <w:r>
        <w:rPr>
          <w:b/>
        </w:rPr>
        <w:t>E. 3.2</w:t>
      </w:r>
    </w:p>
    <w:p>
      <w:r>
        <w:t>La violation du droit d'être entendu (sur cette notion en corrélation avec l'administration de preuves, cf. ATF 130 II 425 consid. 2.1 p. 429, 119 Ib 492 consid. 5b/bb p. 505) dans le sens invoqué par le recourant est une question qui n'a pas de portée propre par rapport au grief tiré d'une mauvaise appréciation des preuves. Le juge peut effectivement renoncer à accomplir certains actes d'instruction sans que cela n'entraîne une violation du droit d'être entendu (arrêt I 363/99 du 8 février 2000 consid. 4, in SVR 2001 IV n° 10 p. 28)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UELI KIESER, Das Verwaltungsverfahren in der Sozialversicherung, p. 212 n° 450; KÖLZ/HÄNER, Verwaltungsverfahren und Verwaltungsrechtspflege des Bundes, 2e éd., p. 39 n° 111 et p. 117 n° 320; FRITZ GYGI, Bundesverwaltungsrechtspflege, 2e éd., p. 274).</w:t>
      </w:r>
    </w:p>
    <w:p>
      <w:r>
        <w:rPr>
          <w:b/>
        </w:rPr>
        <w:t>E. 4.1</w:t>
      </w:r>
    </w:p>
    <w:p>
      <w:r>
        <w:t>Sur le fond, le recourant se plaint implicitement d'une constatation manifestement inexacte des faits pertinents, consécutive à une mauvaise appréciation des preuves. Il conteste la valeur probante de l'expertise du docteur R.________ car ce dernier, compte tenu de sa spécialisation orthopédique, ne pouvait apprécier les atteintes rhumatologiques. En outre, elle comportait des lacunes selon le recourant. Le docteur R.________ aurait en effet admis que l'activité déployée par le recourant était adaptée à ses limitations (cf. p. 11 de l'expertise). Il aurait en outre estimé que la situation actuelle était idéale et qu'il fallait l'entériner. Par ailleurs, le docteur R.________ aurait fondé toute son analyse sur le fait erroné que le recourant avait un horaire de travail de 100% (cf. p. 3 de l'expertise). Le recourant estime que c'est l'expertise du Centre Z.________ qui aurait dû emporter la conviction de la juridiction cantonale car elle était fondée sur l'avis d'éminents spécialistes et était pluridisciplinaire.</w:t>
      </w:r>
    </w:p>
    <w:p>
      <w:r>
        <w:rPr>
          <w:b/>
        </w:rPr>
        <w:t>E. 4.2</w:t>
      </w:r>
    </w:p>
    <w:p>
      <w:r>
        <w:t>On notera préalablement que les contradictions soulevées par le recourant à l'égard de l'expertise du docteur R.________ ont été levées en procédure cantonale. En effet, dans un courrier du 15 avril 2008, la juridiction cantonale a demandé au docteur R.________ de clarifier la divergence d'interprétation de ses conclusions, ce qu'il a fait en précisant que dans une activité respectant toutes les limitations précisées par ses soins, le recourant disposait d'une capacité résiduelle de travail médico-théorique de 100%. Certes, le docteur R.________ avait indiqué que l'activité déployée par le recourant était adaptée à ses limitations. Il se basait cependant sur les dires subjectifs de l'assuré, à qui ce poste convenait très bien. Ce n'est que postérieurement au rapport d'expertise du docteur R.________ qu'une description exacte du nouveau poste de travail du recourant a été faite par le bureau de réadaptation de l'AI (cf. rapport du 21 novembre 2005). Or, dans la mesure où l'activité du recourant se déroulait uniquement debout, elle n'était, selon le service de réadaptation de l'AI, pas adaptée aux limitations évoquées par le docteur R.________. Du reste, aux dires du recourant lui-même, la manipulation de la machine d'entretien des sols en béton était difficile pour lui, compte tenu de son handicap. Au vu de ce qui précède et notamment des précisions apportées par le docteur R.________ le 18 avril 2008, les critiques émises par le recourant à l'égard de l'expertise du 1er septembre 2005 n'apparaissent pas fondées.</w:t>
      </w:r>
    </w:p>
    <w:p>
      <w:r>
        <w:rPr>
          <w:b/>
        </w:rPr>
        <w:t>E. 4.3</w:t>
      </w:r>
    </w:p>
    <w:p>
      <w:r>
        <w:t>Quant à l'argument selon lequel l'expertise du Centre Z.________ devait emporter la conviction des premiers juges parce qu'elle émanait d'éminents spécialistes et qu'elle était pluridisciplinaire, il n'est pas mieux fondé. En effet, la jurisprudence n'a jamais établi de hiérarchie entre les divers types d'expertises médicales, de sorte qu'il n'est pas contraire au droit de s'éloigner des résultats d'une expertise pluridisciplinaire en faveur d'une expertise monodisciplinaire par exemple, si le juge se fonde sur des motifs pertinents qui tiennent compte des aspects concrets du cas d'espèce (cf. arrêt du Tribunal fédéral 9C_885/2007 du 15 septembre 2008, in: Plädoyer 2008/6 p. 78). En l'espèce, le choix de privilégier l'avis du docteur R.________ au détriment de celui du Centre Z.________ relève du principe de la libre appréciation des preuves (cf. ATF 125 V 351 consid. 3a p. 352) et n'est pas manifestement insoutenable. En effet, les conclusions de la commission pluridisciplinaire du Centre Z.________ étaient contradictoires puisqu'elle a exclu toute possibilité de réadaptation professionnelle chez le recourant alors que le rhumatologue du Centre Z.________ avait, quant à lui, retenu une capacité de travail complète dans une profession ne nécessitant pas des efforts de manutention ou des déplacements prolongés. L'avis de ce rhumatologue corroborait les conclusions de la doctoresse B.________ et a été confirmé par les conclusions du docteur R.________. Vu ce qui précède, il n'y a pas lieu de remettre en cause le bien-fondé de l'expertise réalisée par le docteur R.________ et, partant, le résultat de l'appréciation des preuves opérée par le Tribunal des assurances.</w:t>
      </w:r>
    </w:p>
    <w:p>
      <w:r>
        <w:rPr>
          <w:b/>
        </w:rPr>
        <w:t>E. 5.1</w:t>
      </w:r>
    </w:p>
    <w:p>
      <w:r>
        <w:t>Dans un second grief, le recourant invoque une violation du principe d'uniformité de la notion d'invalidité en assurances sociales. Il estime que l'intimé aurait dû retenir une incapacité de travail de 30% dans toute activité adaptée pour des raisons somatiques, conformément à l'évaluation de la CNA.</w:t>
      </w:r>
    </w:p>
    <w:p>
      <w:r>
        <w:rPr>
          <w:b/>
        </w:rPr>
        <w:t>E. 5.2</w:t>
      </w:r>
    </w:p>
    <w:p>
      <w:r>
        <w:t>Il est à noter d'emblée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 ATF 131 V 362 consid. 2.3 p. 368). Récemment, le Tribunal fédéral a admis la réciprocité de cette règle à l'égard de l'assurance-invalidité en jugeant que celle-ci n'était pas liée par l'évaluation de l'invalidité de l'assurance-accidents au sens de l'arrêt ATF 126 V 288 , avec comme conséquence que l'office AI n'avait pas qualité pour faire opposition à la décision ni pour recourir contre la décision sur opposition de l'assureur-accidents concernant le droit à la rente en tant que tel ou le taux d'invalidité ( ATF 133 V 549 ). En l'espèce, l'intimé pouvait donc procéder à l'évaluation de l'invalidité du recourant indépendamment de la décision de la CNA.</w:t>
      </w:r>
    </w:p>
    <w:p>
      <w:r>
        <w:rPr>
          <w:b/>
        </w:rPr>
        <w:t>E. 6</w:t>
      </w:r>
    </w:p>
    <w:p>
      <w:r>
        <w:t>Pour fixer le degré d'invalidité, le Tribunal cantonal des assurances a comparé un revenu d'invalide de 39'308 fr. 20, calculé sur la base des données statistiques économiques, avec un revenu sans invalidité de 62'908 fr. 40, correspondant au montant que le recourant aurait obtenu en 2003 s'il avait pu poursuivre l'activité exercée avant son atteinte à la santé, ce qui aboutissait à un taux de 37,5%.</w:t>
      </w:r>
    </w:p>
    <w:p>
      <w:r>
        <w:rPr>
          <w:b/>
        </w:rPr>
        <w:t>E. 6.1.1</w:t>
      </w:r>
    </w:p>
    <w:p>
      <w:r>
        <w:t>En ce qui concerne le revenu sans invalidité, les premiers juges ont constaté que dès février 1996, le recourant avait changé d'activité afin d'assumer moins de responsabilités. A cette époque, il réalisait un salaire de 25 fr. 60 par heure et un 13è salaire lui était versé; en sus, il percevait une prime de fidélité tous les cinq ans, laquelle était de 3'714 fr. en 1996. Son salaire annuel s'élevait donc à 59'397 fr. ([2'115 h de travail x 25,60 + 8,33%] + 1/5 x 3'714) en 1996 et à 62'908 fr. 40 après indexation de 1996 à 2003.</w:t>
      </w:r>
    </w:p>
    <w:p>
      <w:r>
        <w:rPr>
          <w:b/>
        </w:rPr>
        <w:t>E. 6.1.2</w:t>
      </w:r>
    </w:p>
    <w:p>
      <w:r>
        <w:t>Le recourant estime que c'est son salaire réellement réalisé en 2005 (recte: 1995) et 2006 (recte: 1996) qui doit être pris en considération, soit la rémunération d'employé d'exploitation (à savoir 27 fr. 60/h et non 25 fr. 60/h). Comme argumentation, le recourant fait valoir qu'en 2002, il avait voulu travailler à nouveau comme chef d'exploitation après avoir changé pour une activité saisonnière au début de l'année 1996. Or, cela n'avait pas été possible en raison de son état de santé.</w:t>
      </w:r>
    </w:p>
    <w:p>
      <w:r>
        <w:rPr>
          <w:b/>
        </w:rPr>
        <w:t>E. 6.1.2.1</w:t>
      </w:r>
    </w:p>
    <w:p>
      <w:r>
        <w:t>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ATF 129 V 222 consid. 4.3.1 p. 224 et la référence).</w:t>
      </w:r>
    </w:p>
    <w:p>
      <w:r>
        <w:rPr>
          <w:b/>
        </w:rPr>
        <w:t>E. 6.1.2.2</w:t>
      </w:r>
    </w:p>
    <w:p>
      <w:r>
        <w:t>Il ressort d'une notice d'entretien téléphonique entre l'OAI et la CNA que le recourant avait un salaire horaire de 27 fr. 60 du 27 octobre 1995 au 31 janvier 1996. A partir du 1er février 1996, son salaire était passé à 25 fr. 60/h suite à un changement d'activité. Dans la mesure où ce changement est intervenu avant la survenance de son premier accident (du 27 octobre 1996), il a eu lieu pour des motifs étrangers à l'état de santé du recourant. Aussi, en retenant un revenu hypothétique fondé sur un salaire horaire de 25 fr. 60, la juridiction cantonale n'a pas procédé à une constatation manifestement inexacte des faits déterminants.</w:t>
      </w:r>
    </w:p>
    <w:p>
      <w:r>
        <w:rPr>
          <w:b/>
        </w:rPr>
        <w:t>E. 6.2.1</w:t>
      </w:r>
    </w:p>
    <w:p>
      <w:r>
        <w:t>Les premiers juges ont considéré qu'en travaillant en qualité de concierge à 70% auprès de son employeur, le recourant ne mettait pas suffisamment en valeur sa capacité résiduelle de travail, de sorte qu'il n'y avait pas lieu de tenir compte de son revenu dans cette activité. Pour fixer le revenu d'invalide, le Tribunal cantonal des assurances a repris le calcul de l'OAI fondé sur les données statistiques résultant de l'Enquête suisse sur la structure des salaires (ESS) éditées par l'Office fédéral de la statistique. Il a cependant appliqué un taux de pondération de 15% et non de 10% comme l'administration.</w:t>
      </w:r>
    </w:p>
    <w:p>
      <w:r>
        <w:rPr>
          <w:b/>
        </w:rPr>
        <w:t>E. 6.2.2</w:t>
      </w:r>
    </w:p>
    <w:p>
      <w:r>
        <w:t>Le recourant soutient qu'on ne pouvait raisonnablement exiger de lui qu'il abandonne son activité de concierge chez X.________ et reprenne une nouvelle activité. Il était en effet irréaliste de penser qu'à près de 63 ans, il pourrait retrouver une activité adaptée à ses handicaps somatiques et psychique.</w:t>
      </w:r>
    </w:p>
    <w:p>
      <w:r>
        <w:rPr>
          <w:b/>
        </w:rPr>
        <w:t>E. 6.2.2.1</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I 819/04 du 27 mai 2005, consid. 2.2; I 462/02 du 26 mai 2003, consid. 2.3; I 617/02 du 10 mars 2003, consid. 3.1; I 401/01 du 4 avril 2002, consid. 4c).</w:t>
      </w:r>
    </w:p>
    <w:p>
      <w:r>
        <w:rPr>
          <w:b/>
        </w:rPr>
        <w:t>E. 6.2.2.2</w:t>
      </w:r>
    </w:p>
    <w:p>
      <w:r>
        <w:t>La question de savoir quel est le moment déterminant pour procéder à l'évaluation de l'invalidité d'un assuré proche de l'âge de la retraite a été laissée ouverte par le Tribunal fédéral dans un arrêt 9C_949/2008 du 2 juin 2009. En l'espèce, il n'y a pas lieu de trancher cette question. En effet, que l'on retienne le moment de la naissance éventuelle du droit à la rente, auquel il y a lieu de se placer pour procéder à la comparaison des revenus ( ATF 129 V 222 consid. 4.1 et 4.2 p. 223 s.) ou le moment de la décision litigieuse, le recourant, alors âgé de 56 ans, respectivement 60 ans, n'avait pas atteint le seuil à partir duquel la jurisprudence considère généralement qu'il n'existe plus de possibilité réaliste de mise en valeur de la capacité résiduelle de travail sur un marché du travail supposé équilibré (cf. arrêt 9C_1043/2008 du 2 juillet 2009). Toutefois, dans le cas d'espèce, au regard de l'ensemble des éléments du dossier, un élément particulier n'a pas été retenu à satisfaction par l'autorité cantonale. Le recourant a travaillé depuis 1966 au service de X.________, mis à part quelques périodes pendant lesquelles il était au chômage. Il a donc travaillé toute sa vie pour le même employeur. Il n'apparaît par ailleurs pas qu'il ait acquis, durant sa carrière, une quelconque formation professionnelle ou toute autre expérience qu'il aurait pu mettre en valeur en dehors de son cadre ordinaire de travail. L'exercice d'une nouvelle activité adaptée aux limitations fonctionnelles l'affectant impliquerait par conséquent une reconversion professionnelle et présupposerait des facultés d'adaptation probablement insurmontables d'un point de vue subjectif. Compte tenu de la situation personnelle et professionnelle du recourant, on ne pouvait exiger de lui qu'il abandonne l'emploi qu'il exerçait à 70% pour se lancer dans une recherche - hasardeuse - d'un emploi correspondant à sa capacité résiduelle de travail. On peine en effet à imaginer qu'un employeur eût consenti à engager le recourant, eu égard à l'âge de celui-ci et au temps nécessaire qu'il aurait fallu consacrer pour dispenser un minimum de formation pour un emploi d'emblée limité dans le temps. En ayant repris une activité auprès de son employeur, le recourant a en réalité pleinement satisfait à l'obligation qui lui incombait de réduire son dommage.</w:t>
      </w:r>
    </w:p>
    <w:p>
      <w:r>
        <w:rPr>
          <w:b/>
        </w:rPr>
        <w:t>E. 6.2.3</w:t>
      </w:r>
    </w:p>
    <w:p>
      <w:r>
        <w:t>Il y a dès lors lieu de retenir, au titre du revenu d'invalide, le salaire réalisé par le recourant dans son activité de concierge à 70%. Selon les renseignements donnés par son employeur X.________, le recourant réalisait un revenu annuel brut de 35'320 fr. (22 fr./h x 123,5 heures/mois x 12 + 8,33 % pour tenir compte du 13ème salaire), lequel doit être retenu au titre du revenu d'invalide. En comparant ce montant au revenu sans invalidité de 62'908 fr. 40 fixé par les premiers juges sur la base d'un salaire horaire de 25 fr. 60 (cf. consid. 6.1.2.2), on obtient un taux d'invalidité de 43,85% dès le 15 décembre 2003, lequel ouvre le droit à un quart de rente d'invalidité.</w:t>
      </w:r>
    </w:p>
    <w:p>
      <w:r>
        <w:rPr>
          <w:b/>
        </w:rPr>
        <w:t>E. 7.1</w:t>
      </w:r>
    </w:p>
    <w:p>
      <w:r>
        <w:t>Il résulte de ce qui précède que le droit du recourant à une rente d'invalidité ne doit pas être supprimé, mais réduit à un quart de rente en raison d'une modification des circonstances au sens de l' art. 17 LPGA postérieurement au 31 mars 2004 (cf. art. 88a al. 1 RAI ). Le recours se révèle dès lors partiellement bien fondé et tant le jugement entrepris que la décision du 8 octobre 2007 doivent être réformés en conséquence.</w:t>
      </w:r>
    </w:p>
    <w:p>
      <w:r>
        <w:rPr>
          <w:b/>
        </w:rPr>
        <w:t>E. 8</w:t>
      </w:r>
    </w:p>
    <w:p>
      <w:r>
        <w:t>Vu l'issue du litige, au terme duquel le recourant obtient gain de cause pour l'essentiel, les frais de justice seront supportés par l'intimé, qui succombe (art. 66 al. 1 en relation avec l' art. 65 al. 4 let. a LTF ). Le recourant a par ailleurs droit à des dépens à la charge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