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9C_650/2010 vom 5. Oktober 2010</w:t>
      </w:r>
    </w:p>
    <w:p>
      <w:r>
        <w:t>Bundesgericht, 2010-10-05, DE</w:t>
      </w:r>
    </w:p>
    <w:p>
      <w:r>
        <w:rPr>
          <w:b/>
        </w:rPr>
        <w:t xml:space="preserve">Quelle: </w:t>
      </w:r>
      <w:r>
        <w:t>https://mcp.opencaselaw.ch/entscheid/bger_9C_650_2010</w:t>
      </w:r>
    </w:p>
    <w:p>
      <w:r>
        <w:t>FR: TF 9C_650/2010 du 5 octobre 2010</w:t>
      </w:r>
    </w:p>
    <w:p>
      <w:r>
        <w:t>IT: TF 9C_650/2010 del 5 ottobre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Das kantonale Gericht hat in seinem Entscheid unter Berücksichtigung der massgebenden gesetzlichen Bestimmungen und Grundsätze über die Abgrenzung der selbstständigen von der unselbstständigen Erwerbstätigkeit ( Art. 10 ATSG ; Art. 5 Abs. 2 AHVG ; Art. 1a UVG ; BGE 123 V 162 E. 1; 122 V 171 E. 3a, 283 E. 2a; 119 V 161 E. 2 mit Hinweisen), namentlich bei Akkordanten, eingehend begründet, dass es sich bei der Tätigkeit des D.________ für den Beschwerdeführer im Zeitraum von September bis Dezember 2007 um eine unselbstständige Beschäftigung gehandelt hat, weshalb auf den entsprechenden Entgelten paritätische Sozialversicherungsbeiträge geschuldet sind. Nach der verbindlichen Feststellung des kantonalen Gerichts hat D.________ der Firma des Beschwerdeführers lediglich seine Arbeitskraft und seine Berufserfahrung zur Verfügung gestellt. Die Kundengewinnung sei durch den Beschwerdeführer erfolgt. Namentlich habe D.________ auch kein spezifisches Unternehmerrisiko getragen, als er für den Beschwerdeführer tätig gewesen sei. Er habe vielmehr ein Risiko vergleichbar mit der Gefahr des Stellenverlustes bei Unselbstständigerwerbenden getragen. Die dem Beschwerdeführer gestellten Rechnungen wiesen ebenfalls darauf hin, dass D.________ lediglich Mithilfe leistete und keinen Direktauftrag von einem Kunden erhalten hatte, denn es werde lediglich ein Stundenlohn in Rechnung gestellt, nicht aber ein Materialaufwand. D.________ habe nebst der reinen Arbeitsausführung nicht mit den Kunden/Auftraggebern des Plattenlegergeschäfts des Beschwerdeführers zu tun gehabt. Auch wenn D.________ in selbstständiger Art und Weise gearbeitet habe und die Abwicklung der vereinbarten Leistungen seine Sache gewesen sein möge, er also womöglich arbeitsorganisatorisch nicht in den Betrieb des Beschwerdeführers eingebunden gewesen sei, so sei dies eben gerade die Situation, die für die Mehrzahl der Akkordanten (Subunternehmer) zutreffe, welche von der Verwaltungspraxis im Allgemeinen als Unselbstständigerwerbende betrachtet würden (Hinweis auf Rz. 4048 der Wegleitung über den massgebenden Lohn [WML] in der AHV, IV und EO vom 1. Januar 2002).</w:t>
      </w:r>
    </w:p>
    <w:p>
      <w:r>
        <w:rPr>
          <w:b/>
        </w:rPr>
        <w:t>E. 2.2</w:t>
      </w:r>
    </w:p>
    <w:p>
      <w:r>
        <w:t>Der Beschwerdeführer bringt in der Beschwerde nichts vor, was die tatsächlichen Feststellungen der Vorinstanz als mangelhaft im Sinne von Art. 97 Abs. 1 BGG oder die Qualifikation des D.________ als Unselbstständigerwerbenden als bundesrechtswidrig erscheinen lassen. Dass D.________ seinerseits für die eigene Firma als Selbstständigerwerbender anerkannt ist, spielt für die Qualifikation des strittigen Entgelts keine ausschlaggebende Rolle. Bei einer beitragspflichtigen Person, die gleichzeitig verschiedene Tätigkeiten ausübt, ist jedes Erwerbseinkommen gesondert daraufhin zu überprüfen, ob es aus selbstständiger oder unselbstständiger Tätigkeit stammt ( BGE 123 V 167 E. 4a mit Hinweis). Zu Recht hat das kantonale Gericht unter Hinweis auf das Urteil des Eidg. Versicherungsgerichts vom 16. Juli 2007 (U 315/06) auch ausgeführt, dass es Sache der SUVA ist, im Anwendungsbereich von Art. 66 Abs. 1 UVG über das Beitragsstatut zu befinden.</w:t>
      </w:r>
    </w:p>
    <w:p>
      <w:r>
        <w:rPr>
          <w:b/>
        </w:rPr>
        <w:t>E. 3</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Entschied erledigt wird.</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