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9C_64/2025 vom 15. Oktober 2025</w:t>
      </w:r>
    </w:p>
    <w:p>
      <w:r>
        <w:t>Bundesgericht, 2025-10-15, FR</w:t>
      </w:r>
    </w:p>
    <w:p>
      <w:r>
        <w:rPr>
          <w:b/>
        </w:rPr>
        <w:t xml:space="preserve">Quelle: </w:t>
      </w:r>
      <w:r>
        <w:t>https://mcp.opencaselaw.ch/entscheid/bger_9C_64_2025</w:t>
      </w:r>
    </w:p>
    <w:p>
      <w:r>
        <w:t>FR: TF 9C_64/2025 du 15 octobre 2025</w:t>
      </w:r>
    </w:p>
    <w:p>
      <w:r>
        <w:t>IT: TF 9C_64/2025 del 15 ottobre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a trait au droit du recourant à une rente de l'assurance-invalidité au-delà du 30 avril 2019. Compte tenu des motifs du recours, est seule litigieuse la question de savoir si c'est à bon droit que la juridiction cantonale a considéré que l'assuré avait recouvré une pleine capacité de travail dans une activité adaptée à ses limitations fonctionnelles à compter du 31 janvier 2019.</w:t>
      </w:r>
    </w:p>
    <w:p>
      <w:r>
        <w:rPr>
          <w:b/>
        </w:rPr>
        <w:t>E. 3.2</w:t>
      </w:r>
    </w:p>
    <w:p>
      <w:r>
        <w:t>L'objet de la contestation de la présente procédure est uniquement l'arrêt du Tribunal cantonal, qui remplace la décision de l'office AI du 17 avril 2020 (effet dévolutif). Dans la mesure où l'assuré demande également l'annulation de cette décision, il ne peut être donné suite à son recours. Toutefois, la décision de l'instance inférieure est considérée comme contestée sur le fond ( ATF 151 II 120 consid. 5.3.1; 136 II 539 consid. 1.2; 134 II 142 consid. 1.4).</w:t>
      </w:r>
    </w:p>
    <w:p>
      <w:r>
        <w:rPr>
          <w:b/>
        </w:rPr>
        <w:t>E. 3.3</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150 V 323 consid. 4.2; 144 V 210 consid. 4.3.1), le droit applicable demeure celui qui était en vigueur jusqu'au 31 décembre 2021, dès lors que la décision administrative a été rendue le 17 avril 2020.</w:t>
      </w:r>
    </w:p>
    <w:p>
      <w:r>
        <w:rPr>
          <w:b/>
        </w:rPr>
        <w:t>E. 3.4</w:t>
      </w:r>
    </w:p>
    <w:p>
      <w:r>
        <w:t>L'arrêt entrepris expose de manière complète les dispositions légales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145 V 209 consid. 5.3; 131 V 164 consid. 2.2; 125 V 413 consid. 2d et les références). Il rappelle également les règles applicables à la valeur probante des rapports médicaux ( ATF 125 V 351 consid. 3) et à la libre appréciation des preuves ( art. 61 let . c LPGA). Il suffit d'y renvoyer.</w:t>
      </w:r>
    </w:p>
    <w:p>
      <w:r>
        <w:rPr>
          <w:b/>
        </w:rPr>
        <w:t>E. 4.1</w:t>
      </w:r>
    </w:p>
    <w:p>
      <w:r>
        <w:t>Après avoir constaté qu'il n'était pas contesté que le recourant avait droit à une rente entière d'invalidité du 1er novembre 2018 au 30 avril 2019, la juridiction cantonale a examiné le point de savoir si l'office intimé était fondé à retenir que dès le 31 janvier 2019, la capacité de travail de l'assuré, bien que toujours nulle dans son activité habituelle, était à nouveau entière dans une activité adaptée à ses limitations fonctionnelles. Au terme de son appréciation des preuves, elle est parvenue à la conclusion que tel était le cas. Les juges précédents ont ensuite confirmé l'évaluation du taux d'invalidité effectuée par l'office intimé (soit un taux d'invalidité de 13,15 % [arrondi à 13 %], issu de la comparaison des revenus de valide et d'invalide retenus par l'office intimé et non contestés par le recourant [à savoir 77'843 fr., respectivement 67'608 fr. 25], insuffisant pour maintenir le droit à une rente).</w:t>
      </w:r>
    </w:p>
    <w:p>
      <w:r>
        <w:rPr>
          <w:b/>
        </w:rPr>
        <w:t>E. 4.2</w:t>
      </w:r>
    </w:p>
    <w:p>
      <w:r>
        <w:t>À l'appui de son recours, l'assuré se prévaut d'une violation du droit fédéral (art. 6, 7, 8 et 61 let. c LPGA, art. 4, 28 et 29 LAI ), ainsi que d'un établissement manifestement inexact des faits. Il reproche en substance à la juridiction cantonale d'avoir apprécié arbitrairement les preuves, en se fondant sur les conclusions de la doctoresse B.________, médecin d'arrondissement de la Caisse nationale suisse d'assurance en cas d'accidents (CNA), pour admettre qu'il avait recouvré une pleine capacité de travail dans une activité adaptée à ses limitations fonctionnelles à compter du 31 janvier 2019. Dans la mesure où les nombreuses pièces médicales qu'il avait produites tout au long de la procédure démontraient son incapacité totale de travail, il soutient que les premiers juges se sont "égarés" en ne mettant pas en oeuvre une expertise judiciaire pluridisciplinaire. L'assuré fait en particulier grief à l'instance précédente d'avoir considéré que ses douleurs au pied droit devaient être prises en compte dans le cadre de la nouvelle demande de prestations qu'il avait déposée en juillet 2020 et de ne pas avoir instruit le point de savoir s'il présentait des atteintes à la santé psychique.</w:t>
      </w:r>
    </w:p>
    <w:p>
      <w:r>
        <w:rPr>
          <w:b/>
        </w:rPr>
        <w:t>E. 5.1</w:t>
      </w:r>
    </w:p>
    <w:p>
      <w:r>
        <w:t>Sous l'angle d'abord de l'établissement des faits, le recourant reproche aux premiers juges de ne pas avoir pris en compte, dans le cadre de leur appréciation des preuves, différents rapports qu'il avait produits en procédure cantonale, sans expliquer précisément en quoi chacun d'eux eût trait à une situation postérieure à celle valable jusqu'au 17 avril 2020. Selon l'assuré, ces rapports, qui ne font que confirmer et étayer les appréciations médicales établies avant que la décision administrative du 17 avril 2020 ne fût rendue, justifiaient de se distancier des avis médicaux de la CNA et du Service médical régional de l'AI (SMR) et auraient imposé à l'office intimé, respectivement à la juridiction cantonale, de mettre en oeuvre un complément d'intruction sur le plan médical.</w:t>
      </w:r>
    </w:p>
    <w:p>
      <w:r>
        <w:rPr>
          <w:b/>
        </w:rPr>
        <w:t>E. 5.2</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8C_655/2021 du 27 juin 2022 consid. 6.3.1).</w:t>
      </w:r>
    </w:p>
    <w:p>
      <w:r>
        <w:rPr>
          <w:b/>
        </w:rPr>
        <w:t>E. 5.3</w:t>
      </w:r>
    </w:p>
    <w:p>
      <w:r>
        <w:t>En l'occurrence, comme le fait valoir le recourant, c'est "erronément et de manière arbitraire" que les juges précédents ont considéré que seuls deux des rapports qu'il avait produits à l'appui de son recours cantonal et de ses observations ultérieures concernaient son état de santé au moment où la décision attaquée avait été rendue et pouvaient donc être pris en considération dans le cadre de l'appréciation des preuves (à savoir les rapports des docteurs C.________, spécialiste en anesthésiologie, et D.________, spécialiste en anesthésiologie et en médecine interne générale, des 28 avril et 9 décembre 2020). En particulier, les premiers juges ne sauraient être suivis lorsqu'ils retiennent que dans son rapport du 8 septembre 2020, le docteur E.________, spécialiste en médecine interne générale, s'est déterminé sur l'état de santé d'alors du recourant, relevant une aggravation récente de son état de santé. À la lecture de ce rapport (qui comprend notamment un examen chronologique des pièces médicales établies entre décembre 2017 et août 2020), on constate que le docteur E.________, qui suit le recourant depuis le mois de mars 2010, s'est déterminé au sujet de l'état de santé de son patient dès l'accident de juillet 2017. Le médecin traitant a en effet fait état de symptômes d'algoneurodystrophie présents peu de temps après le traumatisme, en soulignant aussi le rôle important du second traumatisme survenu lors de la chute en été 2018. Dans la mesure où les constatations du docteur E.________, à tout le moins une partie de celles-ci, ont trait à l'état de santé du recourant antérieur à la décision administrative du 17 avril 2020, la juridiction cantonale ne pouvait pas en faire abstraction dans le cadre de son appréciation des preuves. La considération qui précède vaut également concernant plusieurs autres rapports médicaux produits par l'assuré dans le cadre de la procédure cantonale de recours (cf., notamment le rapport du 18 décembre 2021, dans lequel le docteur F.________, spécialiste en médecine interne et en rhumatologie, se réfère à un "suivi de plus de 4 ans d'évolution").</w:t>
      </w:r>
    </w:p>
    <w:p>
      <w:r>
        <w:rPr>
          <w:b/>
        </w:rPr>
        <w:t>E. 5.4</w:t>
      </w:r>
    </w:p>
    <w:p>
      <w:r>
        <w:t>En conséquence de ce qui précède, la cause doit être renvoyée à la juridiction cantonale afin qu'elle procède à un nouvel examen du cas en se fondant sur l'ensemble des pièces produites par le recourant ayant trait à sa situation antérieure à la décision administrative du 17 avril 2020. Il lui appartiendra également d'examiner notamment l'incidence de l'atteinte que l'assuré présente à son pied droit, dès lors que le docteur E.________ a indiqué, dans son rapport du 8 septembre 2020, que cette atteinte avait été occasionnée par la chute survenue en juillet 2018. Dans ce contexte, on rappellera du reste que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145 V 97 consid. 8.5; 142 V 58 consid. 5.1; 135 V 465 consid. 4.5 et 4.6). La conclusion subsidiaire de l'assuré tendant au renvoi de la cause à l'instance précédente se révèle dès lors bien fondée.</w:t>
      </w:r>
    </w:p>
    <w:p>
      <w:r>
        <w:rPr>
          <w:b/>
        </w:rPr>
        <w:t>E. 6</w:t>
      </w:r>
    </w:p>
    <w:p>
      <w:r>
        <w:t>Vu le renvoi ordonné, qui revient à donner gain de cause au recourant, les frais judiciaires doivent être mis à la charge de l'office intimé ( art. 66 al. 1 LTF ). Celui-ci versera par ailleurs une indemnité de dépens à l'assuré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