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9C_647/2010 vom 6. Dezember 2010</w:t>
      </w:r>
    </w:p>
    <w:p>
      <w:r>
        <w:t>Bundesgericht, 2010-12-06, FR</w:t>
      </w:r>
    </w:p>
    <w:p>
      <w:r>
        <w:rPr>
          <w:b/>
        </w:rPr>
        <w:t xml:space="preserve">Quelle: </w:t>
      </w:r>
      <w:r>
        <w:t>https://mcp.opencaselaw.ch/entscheid/bger_9C_647_2010</w:t>
      </w:r>
    </w:p>
    <w:p>
      <w:r>
        <w:t>FR: TF 9C_647/2010 du 6 décembre 2010</w:t>
      </w:r>
    </w:p>
    <w:p>
      <w:r>
        <w:t>IT: TF 9C_647/2010 del 6 dicembre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w:t>
      </w:r>
    </w:p>
    <w:p>
      <w:r>
        <w:rPr>
          <w:b/>
        </w:rPr>
        <w:t>E. 2.1</w:t>
      </w:r>
    </w:p>
    <w:p>
      <w:r>
        <w:t>La recourante reproche uniquement aux premiers juges d'avoir violé son droit d'être entendue garanti par l' art. 29 al. 2 Cst. en refusant de procéder à son audition personnelle. Elle leur avait spécifiquement demandé à pouvoir s'exprimer devant eux notamment sur les conclusions de l'expertise de la doctoresse C.________.</w:t>
      </w:r>
    </w:p>
    <w:p>
      <w:r>
        <w:rPr>
          <w:b/>
        </w:rPr>
        <w:t>E. 2.2</w:t>
      </w:r>
    </w:p>
    <w:p>
      <w:r>
        <w:t>Le droit d'être entendu garanti par l' 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 art. 29 al. 2 Cst. ne confère cependant pas le droit d'être entendu oralement (cf. ATF 134 I 140 consid. 5.3 p. 148 et les références), pas plus du reste que la seconde disposition citée par la recourante, l' art. 42 LPGA , qui s'applique à la procédure administrative en matière d'assurances sociales (arrêt C 128/04 du 20 septembre 2005, in SVR 2006 ALV n° 5 p. 15).</w:t>
      </w:r>
    </w:p>
    <w:p>
      <w:r>
        <w:t>En l'espèce, la recourante a eu la possibilité de faire valoir son point de vue par écrit dans la procédure cantonale, au cours de l'échange d'écritures. Elle a ainsi complété son recours le 31 juillet 2009 en faisant notamment valoir des arguments à l'encontre de l'expertise du médecin du SMR. Entre le moment où la réponse de l'intimé à son recours lui a été communiquée (par courrier du 2 septembre 2009) et celui où le jugement entrepris a été rendu, elle a par ailleurs disposé de plus de neuf mois pour s'exprimer à nouveau par écrit si elle entendait ajouter ou préciser sa motivation (cf. ATF 132 I 42 ). On ne saurait donc voir dans le seul fait que la juridiction cantonale n'a pas donné suite à la requête de comparution personnelle de la recourante une violation de son droit d'être entendue. Il ne s'agit pas, de plus, d'un cas où des circonstances particulières liées à la personnalité de l'intéressée auraient exceptionnellement commandé qu'elle fût entendue oralement (cf. ATF 122 II 464 consid. 4c p. 469).</w:t>
      </w:r>
    </w:p>
    <w:p>
      <w:r>
        <w:rPr>
          <w:b/>
        </w:rPr>
        <w:t>E. 2.3</w:t>
      </w:r>
    </w:p>
    <w:p>
      <w:r>
        <w:t>Il suit de ce qui précède que les conclusions de la recourante, qui reposent sur le seul grief tiré de la violation de son droit d'être entendue, doivent être rejetées. Le recours se révèle manifestement mal fondé ( art. 109 al. 2 let. b LTF ).</w:t>
      </w:r>
    </w:p>
    <w:p>
      <w:r>
        <w:rPr>
          <w:b/>
        </w:rPr>
        <w:t>E. 3</w:t>
      </w:r>
    </w:p>
    <w:p>
      <w:r>
        <w:t>Dans la mesure où les conclusions soumises par la recourante au Tribunal fédéral paraissaient d'emblée vouées à l'échec, compte tenu de la motivation de son recours au regard de la jurisprudence sur le droit d'être entendu, la demande d'assistance judiciaire - requête tendant aussi bien à la dispense de l'avance et du paiement des frais judiciaires qu'à la désignation d'un avocat d'office - doit être rejetée ( art. 64 LTF ). Cela étant, vu les circonstances particulières de la cause, le Tribunal fédéral renonce à mettre les frais judiciaires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