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9C_644/2016 vom 31. Oktober 2016</w:t>
      </w:r>
    </w:p>
    <w:p>
      <w:r>
        <w:t>Bundesgericht, 2016-10-31, DE</w:t>
      </w:r>
    </w:p>
    <w:p>
      <w:r>
        <w:rPr>
          <w:b/>
        </w:rPr>
        <w:t xml:space="preserve">Quelle: </w:t>
      </w:r>
      <w:r>
        <w:t>https://mcp.opencaselaw.ch/entscheid/bger_9C_644_2016</w:t>
      </w:r>
    </w:p>
    <w:p>
      <w:r>
        <w:t>FR: TF 9C_644/2016 du 31 octobre 2016</w:t>
      </w:r>
    </w:p>
    <w:p>
      <w:r>
        <w:t>IT: TF 9C_644/2016 del 31 ottobre 2016</w:t>
      </w:r>
    </w:p>
    <w:p>
      <w:pPr>
        <w:pStyle w:val="Heading2"/>
      </w:pPr>
      <w:r>
        <w:t>Erwägungen</w:t>
      </w:r>
    </w:p>
    <w:p>
      <w:r>
        <w:rPr>
          <w:b/>
        </w:rPr>
        <w:t>E. 1</w:t>
      </w:r>
    </w:p>
    <w:p>
      <w:r>
        <w:t>Die Beschwerde richtet sich gegen einen Zwischenentscheid im Sinne von Art. 92 f. BGG ( BGE 138 V 271 E. 2.1 S. 277). In diesem Rahmen kann ein Entscheid betreffend Fragen der Anordnung einer Administrativbegutachtung - auch mit Blick auf die Verfahrensgarantien nach BV und EMRK ( BGE 138 V 271 E. 3.1 S. 278 mit Hinweisen) - nur an das Bundesgericht weitergezogen werden, sofern der angefochtene Entscheid den Ausstand einer sachverständigen Person im konkreten Fall betrifft (vgl. Art. 92 Abs. 1 BGG ; BGE 138 V 271 E. 4 S. 280). Hinsichtlich anderer Aspekte prüft das Bundesgericht die Bundesrechtskonformität der Gutachtenanordnung gegebenenfalls zusammen mit dem Endentscheid (vgl. Art. 93 Abs. 3 BGG ). Diese Eintretensordnung gilt auch im Zusammenhang mit der Einholung einer mono- oder bidisziplinären Expertise (Urteil 9C_207/2012 vom 3. Juli 2013 E. 1.2.2, nicht publ. in: BGE 139 V 349 , aber in: SVR 2013 IV Nr. 31 S. 91). Auf die Beschwerde wäre demzufolge nur insoweit einzutreten, als</w:t>
      </w:r>
    </w:p>
    <w:p>
      <w:r>
        <w:t>formelle Einwendungen bzw.</w:t>
      </w:r>
    </w:p>
    <w:p>
      <w:r>
        <w:t>Ablehnungsgründe im Raum stehen.</w:t>
      </w:r>
    </w:p>
    <w:p>
      <w:r>
        <w:rPr>
          <w:b/>
        </w:rPr>
        <w:t>E. 2</w:t>
      </w:r>
    </w:p>
    <w:p>
      <w:r>
        <w:t>Die Beschwerdeführerin rügt im Wesentlichen, die vorgesehene psychiatrische Expertin sei nicht qualifiziert, um die Begutachtung durchzuführen; dieses Vorbringen ist klarerweise als</w:t>
      </w:r>
    </w:p>
    <w:p>
      <w:r>
        <w:t>materieller Einwand zu qualifizieren, welcher erst mit dem Entscheid in der Sache im Rahmen der Beweiswürdigung zu behandeln ist ( BGE 137 V 210 E. 3.4.1.2 S. 248). Mithin liegen keine spezifisch auf den Fall der Beschwerdeführerin bezogenen Ablehnungsgründe gegen die Gutachterin im Sinne der zitierten Rechtsprechung vor. Soweit die Verletzung von Art. 2, 3 und 8 EMRK geltend gemacht wird, genügt die Beschwerde der qualifizierten Rügepflicht ( Art. 106 Abs. 2 BGG ; BGE 138 I 274 E. 1.6 S. 280 f. mit Hinweisen) in keiner Weise. Die Beschwerde ist offensichtlich unzulässig ( Art. 108 Abs. 1 lit. a und b BGG ).</w:t>
      </w:r>
    </w:p>
    <w:p>
      <w:r>
        <w:rPr>
          <w:b/>
        </w:rPr>
        <w:t>E. 3</w:t>
      </w:r>
    </w:p>
    <w:p>
      <w:r>
        <w:t>Das Verfahren ist kostenpflichtig ( Art. 65 BGG ). Gemäss Art. 66 Abs. 3 BGG hat unnötige Kosten zu bezahlen, wer sie verursacht hat. Auf dieser Grundlage kann das Bundesgericht ausnahmsweise entscheiden, die Kosten nicht der unterliegenden Partei, sondern deren Rechtsvertreter persönlich aufzuerlegen. Dies ist namentlich dann gerechtfertigt, wenn die Unzulässigkeit des eingelegten Rechtsmittels schon bei Beachtung elementarster Sorgfalt festgestellt werden kann ( BGE 129 IV 206 E. 2 S. 207 f. zum mit Art. 66 Abs. 3 BGG übereinstimmenden Art. 156 Abs. 6 OG ; Urteile 8C_620/2010 vom 16. November 2010; 2C_66/2010 vom 9. April 2010 E. 2.5; 2C_758/2009 vom 18. November 2009; MEYER/DORMANN, in: Basler Kommentar, Bundesgerichtsgesetz, 2. Aufl. 2011, N. 24 zu Art. 66 BGG mit Hinweisen).</w:t>
      </w:r>
    </w:p>
    <w:p>
      <w:r>
        <w:t>Mit Blick darauf, dass die (stets durch denselben Anwalt vertretene) Beschwerdeführerin gegen die Anordnung der medizinischen Begutachtung bereits zweimal eine offensichtlich unzulässige Beschwerde beim Bundesgericht erhoben (erwähnte Urteile 9C_474/2014 und 9C_918/2015) und das Bundesgericht die vorstehend wiedergegebene Eintretensordnung jeweils dargelegt hat, musste dem Rechtsvertreter die offensichtliche Unzulässigkeit des hier eingelegten Rechtsmittels bei Beachtung eines Minimums an Aufmerksamkeit von vornherein klar sein (vgl. im Übrigen auch die - denselben Rechtsvertreter betreffenden - Nichteintretensentscheide 9C_204/2016 vom 29. April 2016 und 9C_285/2014 vom 30. Mai 2014, in welchen die besagte Eintretensordnung ebenfalls erläutert wurde). Unter diesen Umständen sind die Gerichtskosten dem Rechtsanwalt als deren Verursacher aufzuerlegen. Bei weiteren Beschwerden dieser Art, die auf die Erzielung von Zeitgewinn angelegt sind - die laufende Invalidenrente kann nicht innert nützlicher Frist auf ihre Begründetheit hin überprüft werden -, behält sich das Bundesgericht die Prüfung vor, ob mutwillige Prozessführung ( Art. 33 Abs. 2 BGG ) gegeben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