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9C_644/2008 vom 12. Dezember 2008</w:t>
      </w:r>
    </w:p>
    <w:p>
      <w:r>
        <w:t>Bundesgericht, 2008-12-12, FR</w:t>
      </w:r>
    </w:p>
    <w:p>
      <w:r>
        <w:rPr>
          <w:b/>
        </w:rPr>
        <w:t xml:space="preserve">Quelle: </w:t>
      </w:r>
      <w:r>
        <w:t>https://mcp.opencaselaw.ch/entscheid/bger_9C_644_2008</w:t>
      </w:r>
    </w:p>
    <w:p>
      <w:r>
        <w:t>FR: TF 9C_644/2008 du 12 décembre 2008</w:t>
      </w:r>
    </w:p>
    <w:p>
      <w:r>
        <w:t>IT: TF 9C_644/2008 del 12 dicembre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Une constatation incomplète des faits correspond à une violation du droit au sens de cette disposition (arrêt 4A.214/2008 du 9 juillet 2008 consid. 1.2, non publié in ATF 134 III 570 ).</w:t>
      </w:r>
    </w:p>
    <w:p>
      <w:r>
        <w:rPr>
          <w:b/>
        </w:rPr>
        <w:t>E. 2</w:t>
      </w:r>
    </w:p>
    <w:p>
      <w:r>
        <w:t>Est litigieux le droit de l'intimée à une mesure de réadaptation d'ordre professionnel au-delà du 31 juillet 2007, plus particulièrement si elle peut prétendre à la prise en charge d'une formation supérieure à celle consacrée par le titre de Bachelor en sciences de l'éducation.</w:t>
      </w:r>
    </w:p>
    <w:p>
      <w:r>
        <w:rPr>
          <w:b/>
        </w:rPr>
        <w:t>E. 3</w:t>
      </w:r>
    </w:p>
    <w:p>
      <w:r>
        <w:t>Aux termes de l' art. 17 al. 1 LAI , l'assuré a droit au reclassement dans une nouvelle profession si son invalidité rend nécessaire cette mesure et que sa capacité de gain peut ainsi, selon toute vraisemblance, être maintenue ou améliorée.</w:t>
      </w:r>
    </w:p>
    <w:p>
      <w:r>
        <w:t>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 ATF 124 V 108 consid. 2a p. 109).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 ATF 124 V 108 consid. 2a p. 109). En particulier, il ne peut prétendre une formation d'un niveau nettement supérieur à celui de son ancienne activité (ATFA 1965 p. 42), sauf si la nature et la gravité de l'invalidité sont telles que seule une formation d'un niveau supérieur permet de mettre à profit d'une manière optimale la capacité de travail à un niveau professionnel plus élevé. Comme toute mesure de réadaptation, les mesures de reclassement doivent par ailleurs être adéquates, et il doit exister une proportion raisonnable entre les frais qu'elles entraînent, leur durée et le résultat que l'on peut en attendre ( ATF 103 V 16 consid. 1b; 99 V 34 ). Si les préférences de l'intéressé quant au choix du genre de reclassement doivent être prises en considération, elles ne sauraient toutefois jouer un rôle déterminant (dans ce sens arrêt I 849/02 du 13 juillet 2004 consid. 2).</w:t>
      </w:r>
    </w:p>
    <w:p>
      <w:r>
        <w:t>L'assuré qui a droit au reclassement en raison de son invalidité a droit à la formation complète qui s'impose dans son cas afin de pouvoir vraisemblablement sauvegarder sa capacité de gain ou l'améliorer de manière notable ( ATF 124 V 108 consid. 2a p. 109).</w:t>
      </w:r>
    </w:p>
    <w:p>
      <w:r>
        <w:t>Le critère de l'équivalence approximative des activités, en considérant toutes les circonstances du cas, ne peut pas être apprécié seulement sous l'angle des possibilités de gain actuelles offertes par la profession initiale et par la nouvelle, il faut bien plus prendre en considération, sur la base d'un pronostic, l'évolution ultérieure des salaires, la durée d'activité et la valeur qualitative des deux formations à comparer ( ATF 124 V 108 consid. 3b p. 111). La notion d'équivalence approximative des possibilités de revenus dans l'ancienne et la nouvelle activité ne saurait être réalisée à long terme que si les deux formations présentent, elles aussi, des valeurs comparables dans une certaine mesure (ULRICH MEYER-BLASER, Zum Verhältnismässigkeitsgrundsatz im staatlichen Leistungsrecht, thèse Berne 1985 p. 186).</w:t>
      </w:r>
    </w:p>
    <w:p>
      <w:r>
        <w:rPr>
          <w:b/>
        </w:rPr>
        <w:t>E. 4</w:t>
      </w:r>
    </w:p>
    <w:p>
      <w:r>
        <w:t>Se fondant d'une part sur l'avis du médecin traitant de l'intimée - lequel a constaté une nette rémission de sa maladie depuis que celle-ci avait entrepris une reconversion professionnelle - , et sur celui du président du Département des sciences de l'éducation de l'Université de Y.________ d'autre part, - lequel indiquait que les milieux professionnels recrutaient au niveau du Master et non du Bachelor - la juridiction cantonale a retenu que du moment que l'administration s'était engagée à mettre à la disposition de l'intimée les moyens nécessaires à la poursuite d'une formation universitaire en travail social, puis - suite à un échec dans cette voie - en sciences de l'éducation, elle devait prendre à sa charge l'intégralité de cette mesure de réadaptation, c'est-à-dire jusqu'à l'obtention du titre de Master en sciences de l'éducation. La prise en charge de cette mesure était adéquate au vu des perspectives de gain futures de l'assurée comparées à celui qu'elle réalisait avant la survenance de son invalidité.</w:t>
      </w:r>
    </w:p>
    <w:p>
      <w:r>
        <w:rPr>
          <w:b/>
        </w:rPr>
        <w:t>E. 5</w:t>
      </w:r>
    </w:p>
    <w:p>
      <w:r>
        <w:t>Le recourant fait valoir qu'un reclassement professionnel, sous la forme d'études universitaires sanctionnées par l'obtention du titre de Bachelor en sciences de l'éducation, satisfait à tous les critères d'une réadaptation réussie. En effet, avec son titre de "Bachelor" couplé à une expérience professionnelle dans la vente, l'intimée n'est pas dépourvue de toute perspective professionnelle. Celle-ci avait reconnu elle-même qu'il existait des possibilités de trouver un emploi avec un titre de "Bachelor", toutefois ceux-ci ne procuraient que des revenus modestes. Or, pour le recourant, cet argument n'est pas valable car les activités professionnelles envisagées par l'intimée avec un titre de "Bachelor" lui auraient au moins permis de s'insérer dans le monde du travail.</w:t>
      </w:r>
    </w:p>
    <w:p>
      <w:r>
        <w:t>Le recourant estime par ailleurs que si l'OAI a bel et bien soutenu l'intimée en situation d'échec dans la réorientation de ses études, il n'a en revanche jamais entériné des mesures de réadaptation jusqu'à l'obtention du titre de Master en sciences de l'éducation. Aussi, selon l'OFAS, la décision cantonale enjoignant l'OAI à prendre en charge la formation jusqu'au Master est contraire au droit fédéral.</w:t>
      </w:r>
    </w:p>
    <w:p>
      <w:r>
        <w:rPr>
          <w:b/>
        </w:rPr>
        <w:t>E. 6.1</w:t>
      </w:r>
    </w:p>
    <w:p>
      <w:r>
        <w:t>Le reclassement a pour finalité de permettre à l'assuré de sauvegarder ou d'améliorer sa capacité de gain par l'exercice d'une nouvelle profession, au terme de la formation entreprise. Or, l'appréciation de l'équivalence selon la jurisprudence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110 V 273 consid. 4b p. 276, confirmé à maintes reprises, p. ex. arrêt I 626/03 du 30 avril 2004 consid. 7.2, non publié in ATF 130 V 343 ).</w:t>
      </w:r>
    </w:p>
    <w:p>
      <w:r>
        <w:rPr>
          <w:b/>
        </w:rPr>
        <w:t>E. 6.2</w:t>
      </w:r>
    </w:p>
    <w:p>
      <w:r>
        <w:t>Pour répondre à la question décisive de savoir si la mesure de reclassement accordée par l'OAI est suffisante pour maintenir une capacité de gain approximativement équivalente à celle que procurait l'activité lucrative exercée par l'assurée avant la survenance de l'invalidité, il faut tout d'abord déterminer quelles sont les possibilités de gain qu'offre un Bachelor en sciences de l'éducation sur le marché du travail compte tenu également des autres qualités professionnelles de l'intimée. Il s'agit ensuite de comparer ce potentiel lucratif avec la rémunération que touchait l'intimée avant l'invalidité. C'est seulement sur la base de ce résultat que l'on peut constater si la mesure de reclassement accordée est oui ou non suffisante, dans le cas d'espèce, pour permettre à l'intimée de réaliser un revenu à peu près équivalent à celui qu'elle obtiendrait en tant que directrice des ventes. La juridiction cantonale a retenu que l'obtention du titre de "Master" était adéquate pour satisfaire à cette finalité. Elle n'a cependant pas cherché à vérifier si, dans le cas d'espèce, l'obtention d'un titre de "Bachelor" était nécessaire et suffisant. En particulier, elle n'a pas élucidé la question de savoir quelles étaient les possibilités de gain de l'intimée compte tenu de l'obtention du titre de "Bachelor" et de l'expérience professionnelle qui était la sienne. A l'inverse, le recourant se contente d'affirmer que l'obtention du titre de "Bachelor" est suffisant en l'espèce, sans se préoccuper de savoir si l'assurée pouvait retrouver une capacité de gain à peu près équivalente à celle que lui procurait son activité avant la survenance de l'invalidité. Au vu des constatations lacunaires de la juridiction cantonale sur ce point et qui sont également déterminantes si l'on veut examiner le rapport raisonnable entre les frais que la mesure entraîne ou a entraînés et le résultat que l'on peut en attendre, il convient de lui renvoyer la cause pour qu'elle procède aux mesures d'instruction qui s'imposent ( art. 61 let . c LPGA), puis rende une nouvelle décision.</w:t>
      </w:r>
    </w:p>
    <w:p>
      <w:r>
        <w:rPr>
          <w:b/>
        </w:rPr>
        <w:t>E. 7</w:t>
      </w:r>
    </w:p>
    <w:p>
      <w:r>
        <w:t>L'intimée, qui succombe, n'a pas droit aux dépens ( art. 68 LTF ). Vu les circonstances du cas d'espèce, le tribunal statue sans frais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