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9C_642/2021 vom 25. Februar 2022</w:t>
      </w:r>
    </w:p>
    <w:p>
      <w:r>
        <w:t>Bundesgericht, 2022-02-25, DE</w:t>
      </w:r>
    </w:p>
    <w:p>
      <w:r>
        <w:rPr>
          <w:b/>
        </w:rPr>
        <w:t xml:space="preserve">Quelle: </w:t>
      </w:r>
      <w:r>
        <w:t>https://mcp.opencaselaw.ch/entscheid/bger_9C_642_2021</w:t>
      </w:r>
    </w:p>
    <w:p>
      <w:r>
        <w:t>FR: TF 9C_642/2021 du 25 février 2022</w:t>
      </w:r>
    </w:p>
    <w:p>
      <w:r>
        <w:t>IT: TF 9C_642/2021 del 25 febbraio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2</w:t>
      </w:r>
    </w:p>
    <w:p>
      <w:r>
        <w:t>Streitig und zu prüfen ist, ob die Vorinstanz Bundesrecht verletzte, als sie einen Anspruch der Versicherten auf Invalidenleistungen der beruflichen Vorsorge zu Lasten der Beschwerdegegnerin verneinte.</w:t>
      </w:r>
    </w:p>
    <w:p>
      <w:r>
        <w:rPr>
          <w:b/>
        </w:rPr>
        <w:t>E. 3</w:t>
      </w:r>
    </w:p>
    <w:p>
      <w:r>
        <w:t>Vorab rügt die Beschwerdeführerin, das kantonale Gericht sei zu Unrecht davon ausgegangen, es würden nur Ansprüche aus der obligatorischen beruflichen Vorsorge im Streit liegen. Mit Blick auf nachstehende Erwägungen muss diese Frage jedoch nicht näher geprüft werden, legt die Versicherte doch jedenfalls nicht dar, dass aufgrund der reglementarischen Bestimmungen der Beschwerdegegnerin ein von der Invalidenversicherung abweichender Invaliditätsbegriff zur Anwendung gelangen würde.</w:t>
      </w:r>
    </w:p>
    <w:p>
      <w:r>
        <w:rPr>
          <w:b/>
        </w:rPr>
        <w:t>E. 4.1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bestehenden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4.2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4.3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5.1</w:t>
      </w:r>
    </w:p>
    <w:p>
      <w:r>
        <w:t>Die Vorinstanz verneinte einen Anspruch der Versicherten auf eine Invalidenrente mit der Begründung, es bestehe kein zeitlicher Zusammenhang mehr zwischen der während des Vorsorgeverhältnisses eingetretenen Arbeitsunfähigkeit und jener Arbeitsunfähigkeit, die zur Zusprache einer ganzen Rente der Invalidenversicherung ab 1. August 2016 geführt habe. Das kantonale Gericht erwog, die IV-Stelle habe die bisherige Dreiviertelsrente mit Verfügung vom 12. Februar 2013 (bestätigt mit Urteil des Sozialversicherungsgerichts des Kantons Zürich vom 31. März 2014) infolge einer Verbesserung des Gesundheitszustandes mit nunmehr vollständiger Arbeitsfähigkeit per 31. März 2013 aufgehoben. Weiter stellte die Vorinstanz fest, aufgrund dieser Verfügung stehe fest, dass die Versicherte aus invalidenversicherungsrechtlicher Sicht mindestens im Zeitraum zwischen Oktober 2012 und Februar 2013 voll arbeitsfähig gewesen sei. Was die Versicherte gegen diese - für das Bundesgericht grundsätzlich verbindliche (vgl. E. 1.2) - Feststellung vorbringt, vermag sie nicht als bundesrechtswidrig erscheinen zu lassen.</w:t>
      </w:r>
    </w:p>
    <w:p>
      <w:r>
        <w:rPr>
          <w:b/>
        </w:rPr>
        <w:t>E. 5.2</w:t>
      </w:r>
    </w:p>
    <w:p>
      <w:r>
        <w:t>Soweit die Beschwerdeführerin geltend macht, die Rentenaufhebung sei nicht aufgrund einer medizinisch festgestellten Verbesserung des Gesundheitszustandes erfolgt, sondern aufgrund der "Überwindbarkeitspraxis des Bundesgerichts", ist Folgendes festzuhalten: Wie das Bundesgericht unlängst entschieden hat, ist eine allfällige medizinisch attestierte Arbeitsunfähigkeit ohne invalidenversicherungsrechtliche Relevanz - unter Vorbehalt anderslautender reglementarischer Bestimmungen - auch berufsvorsorgerechtlich unbeachtlich (Urteil 9C_569/2021 vom 22. Dezember 2021 E. 4). Gemäss dem zitierten Urteil gilt dieser Grundsatz selbst dann, wenn die Rente der Invalidenversicherung - anders als im vorliegenden Fall - einzig aufgrund der Schlussbestimmungen der 6. IV-Revision (vgl. die Durchbrechung von Art. 26 Abs. 3 BVG gemäss den Schlussbestimmungen der Änderung des IVG vom 18. März 2011 [6. IV-Revision, erstes Massnahmenpaket]; AS 2011 5676) aufgehoben wurde. Eine offensichtliche Unhaltbarkeit (vgl. dazu BGE 130 V 270 E. 3.1) der rentenaufhebenden Verfügung vom 12. Februar 2013 wird von der Versicherten zu Recht nicht geltend gemacht. Damit kann letztlich offen bleiben, auf welcher gesetzlichen Grundlage - Art. 17 Abs. 1 ATSG oder Schlussbestimmungen der 6. IV-Revision - die Rentenaufhebung basierte.</w:t>
      </w:r>
    </w:p>
    <w:p>
      <w:r>
        <w:rPr>
          <w:b/>
        </w:rPr>
        <w:t>E. 6</w:t>
      </w:r>
    </w:p>
    <w:p>
      <w:r>
        <w:t>Nach dem Gesagten fehlt es am zeitlichen Konnex zwischen der während des Vorsorgeverhältnisses bestehenden Arbeitsunfähigkeit und der später eingetretenen Invalidität. Das kantonale Gericht verletzte somit kein Bundesrecht, als es einen Anspruch der Versicherten auf Invalidenleistungen der beruflichen Vorsorge verneinte.</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