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641/2015 vom 21. Juni 2016</w:t>
      </w:r>
    </w:p>
    <w:p>
      <w:r>
        <w:t>Bundesgericht, 2016-06-21, FR</w:t>
      </w:r>
    </w:p>
    <w:p>
      <w:r>
        <w:rPr>
          <w:b/>
        </w:rPr>
        <w:t xml:space="preserve">Quelle: </w:t>
      </w:r>
      <w:r>
        <w:t>https://mcp.opencaselaw.ch/entscheid/bger_9C_641_2015</w:t>
      </w:r>
    </w:p>
    <w:p>
      <w:r>
        <w:t>FR: TF 9C 641/2015 du 21 juin 2016</w:t>
      </w:r>
    </w:p>
    <w:p>
      <w:r>
        <w:t>IT: TF 9C 641/2015 del 21 giugno 2016</w:t>
      </w:r>
    </w:p>
    <w:p>
      <w:pPr>
        <w:pStyle w:val="Heading2"/>
      </w:pPr>
      <w:r>
        <w:t>Regeste</w:t>
      </w:r>
    </w:p>
    <w:p>
      <w:r>
        <w:t>Assurance-invalidité | Assurance-invalidité</w:t>
      </w:r>
    </w:p>
    <w:p>
      <w:pPr>
        <w:pStyle w:val="Heading2"/>
      </w:pPr>
      <w:r>
        <w:t>Erwägungen</w:t>
      </w:r>
    </w:p>
    <w:p>
      <w:r>
        <w:rPr>
          <w:b/>
        </w:rPr>
        <w:t>E. 1</w:t>
      </w:r>
    </w:p>
    <w:p>
      <w:r>
        <w:t>A l'appui de ses conclusions principales, le recourant reproche aux premiers juges de n'avoir pas étendu le procès au-delà de l'objet de la contestation. Il soutient que la situation postérieure au mois de septembre 2013 est en état d'être jugée, compte tenu des conclusions claires et univoques des experts médicaux de la Clinique B.________ figurant dans le rapport du 22 juillet 2014, selon lesquels il n'a plus de capacité de travail dès ce moment-là. Le recourant s'en prend aussi au rapport du docteur C.________ du 9 janvier 2012, qui lui semble dénué de force probante. Par ailleurs, il soutient que la jurisprudence récente (cf. ATF 141 V 281 ) sur le caractère invalidant d'un syndrome douloureux somatoforme persistant n'a, à tort, pas été appliquée. A propos de ses conclusions subsidiaires, le recourant fait grief à la juridiction cantonale d'avoir refusé de mettre en oeuvre des débats publics, en dépit de sa demande expresse, violant ainsi son droit à un procès équitable et son droit d'être entendu ( art. 6 CEDH , art. 29 al. 2 Cst. ). Il se réfère à cet égard à l'arrêt 9C_198/2011 du 11 novembre 2011 qu'il avait expressément invoqué dans son recours cantonal.</w:t>
      </w:r>
    </w:p>
    <w:p>
      <w:r>
        <w:rPr>
          <w:b/>
        </w:rPr>
        <w:t>E. 2</w:t>
      </w:r>
    </w:p>
    <w:p>
      <w:r>
        <w:t>Dans la mesure où le recourant soulève un grief d'ordre formel contre le déroulement de la procédure de première instance, soit la violation de son droit d'être entendu ( art. 29 al. 2 Cst. ), celui-ci doit être examiné en premier lieu, car il se pourrait que le Tribunal fédéral accueille le recours sur ce point et renvoie la cause à l'autorité inférieure sans examen du litige au fond (cf. ATF 124 V 90 consid. 2 p. 92 et la référence; arrêt 9C_569/2015 du 8 mars 2016 consid. 3.1).</w:t>
      </w:r>
    </w:p>
    <w:p>
      <w:r>
        <w:rPr>
          <w:b/>
        </w:rPr>
        <w:t>E. 3</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4</w:t>
      </w:r>
    </w:p>
    <w:p>
      <w:r>
        <w:t>En l'espèce, le tribunal cantonal n'a pas examiné la requête tendant à la mise en oeuvre des débats publics que le recourant avait présentée dans son recours cantonal du 8 mai 2012 (p. 9) et n'a pas donné suite à celle-ci. On se trouve pourtant dans l'éventualité dont il est question à l'arrêt 9C_198/2011 consid. 2.1, dès lors que la présente cause bénéficie de la protection de l'art. 6 § 1 CEDH , que la demande avait été formulée de manière claire et indiscutable et qu'elle ne présentait pas de caractère abusif. Quant au sort du litige, dont l'objet porte essentiellement sur la confrontation d'avis spécialisés au sujet de l'état de santé et de l'incapacité de travail du recourant en matière d'assurance-invalidité, il était indécis, la juridiction cantonale ayant d'ailleurs admis partiellement le recours. Il s'ensuit que le jugement attaqué sera annulé pour ce seul motif, la cause étant renvoyée aux premiers juges afin qu'ils mettent en oeuvre les débats publics requis et statuent ensuite à nouveau sur le recours formé contre la décision du 28 mars 2012.</w:t>
      </w:r>
    </w:p>
    <w:p>
      <w:r>
        <w:rPr>
          <w:b/>
        </w:rPr>
        <w:t>E. 5</w:t>
      </w:r>
    </w:p>
    <w:p>
      <w:r>
        <w:t>Le recourant, qui obtient gain de cause, a droit à une indemnité de dépens à charge de l'intimé ( art. 68 al. 1 LTF ).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