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63/2014 vom 8. Mai 2014</w:t>
      </w:r>
    </w:p>
    <w:p>
      <w:r>
        <w:t>Bundesgericht, 2014-05-08, DE</w:t>
      </w:r>
    </w:p>
    <w:p>
      <w:r>
        <w:rPr>
          <w:b/>
        </w:rPr>
        <w:t xml:space="preserve">Quelle: </w:t>
      </w:r>
      <w:r>
        <w:t>https://mcp.opencaselaw.ch/entscheid/bger_9C_63_2014</w:t>
      </w:r>
    </w:p>
    <w:p>
      <w:r>
        <w:t>FR: TF 9C 63/2014 du 8 mai 2014</w:t>
      </w:r>
    </w:p>
    <w:p>
      <w:r>
        <w:t>IT: TF 9C 63/2014 del 8 maggio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IV-Stelle kann nach Art. 53 Abs. 2 in Verbindung mit Art. 2 ATSG und Art. 1 Abs. 1 IVG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dargeboten hat,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9C_339/2010 vom 30. November 2010 E. 3, 9C_760/2010 vom 17. November 2010 E. 2 und 9C_575/2007 vom 18. Oktober 2007 mit Hinweisen). Eine auf keiner nachvollziehbaren ärztlichen Einschätzung der massgeblichen Arbeitsfähigkeit beruhende Invaliditätsbemessung ist nicht rechtskonform und die entsprechende Verfügung zweifellos unrichtig im wiedererwägungsrechtlichen Sinne (Urteile 9C_629/2013 vom 13. Dezember 2013 E. 2, 8C_647/2011 vom 4. Januar 2012 E. 2.3, 8C_920/2009 vom 22. Juli 2010 E. 2.4).</w:t>
      </w:r>
    </w:p>
    <w:p>
      <w:r>
        <w:rPr>
          <w:b/>
        </w:rPr>
        <w:t>E. 3.1</w:t>
      </w:r>
    </w:p>
    <w:p>
      <w:r>
        <w:t>Das Sozialversicherungsgericht ist zur Auffassung gelangt, dass die Verfügungen der IV-Stelle vom 24. Mai 2006, deren Einspracheentscheid vom 27. September 2006 sowie die Mitteilung vom 30. August 2007 zweifellos unrichtig und aus diesem Grund von der Verwaltung zu Recht in Wiedererwägung gezogen worden seien.</w:t>
      </w:r>
    </w:p>
    <w:p>
      <w:r>
        <w:rPr>
          <w:b/>
        </w:rPr>
        <w:t>E. 3.2</w:t>
      </w:r>
    </w:p>
    <w:p>
      <w:r>
        <w:t>Im vorliegenden Fall liegt der seitens der Vorinstanz als gegeben erachtete Wiedererwägungsgrund im Bereich der materiellen Anspruchsvoraussetzungen; er betrifft insbesondere den Grad der Arbeitsunfähigkeit in der angestammten oder einer zumutbaren Verweisungstätigkeit und die Invaliditätsbemessung selbst, deren Ergebnis den Rentenverfügungen und der Mitteilung der IV-Stelle zugrunde gelegt wurde. Die Vorinstanz versäumt es, hinreichend schlüssig darzulegen, inwiefern die für die ursprünglichen Verfügungen massgebenden Invaliditätsgrade von 66 % ab 1. November 2004 und 100 % ab 1. Februar 2005 oder die Annahmen, auf welche die Invaliditätsbemessung in medizinischer und erwerblicher Hinsicht seinerzeit abgestützt war, vor dem Hintergrund der damaligen Sach- und Rechtslage nicht vertretbar gewesen seien. Vielmehr nimmt sie eine einlässliche Würdigung der medizinischen Akten vor und weist auf Widersprüche zwischen den Gutachten des Spitals Y.________ und der Rehaklinik X.________ hin. Die Ärzte der Rehaklinik weisen in der Tat auf gewisse Inkonsistenzen im früheren Gutachten hin. Die Bescheinigung voller Arbeitsunfähigkeit sei nicht anhand objektivierbarer neurologischer Beeinträchtigungen erfolgt, sondern es sei auf die Angaben des Versicherten abgestellt worden. Der Expertise des Spitals Y.________ spricht die Vorinstanz deshalb den Beweiswert ab, zumal die Ärzte auch unberücksichtigt gelassen hätten, dass der Versicherte im Stande sei, seinen kleinen Sohn zu betreuen, seiner Ehefrau beim Einkauf zu helfen, ein Auto zu lenken und mehrmals im Jahr nach Bulgarien zu reisen.</w:t>
      </w:r>
    </w:p>
    <w:p>
      <w:r>
        <w:rPr>
          <w:b/>
        </w:rPr>
        <w:t>E. 3.3</w:t>
      </w:r>
    </w:p>
    <w:p>
      <w:r>
        <w:t>Mit diesen Aussagen aus der Jahre nach den in Frage stehenden Verfügungen der IV-Stelle erstatteten Expertise der Rehaklinik vom 1. Februar 2011 ist eine zweifellos unrichtige fachärztliche Beurteilung des Gesundheitszustandes oder eine entsprechend unzutreffende Stellungnahme zur Arbeitsunfähigkeit für den Zeitpunkt der Rentenverfügungen (24. Mai 2006) nicht belegt. Zu beachten gilt es nebst dem Ermessenspielraum der Verwaltung, dass sich RAD-Arzt Dr. med. P.________ am 27. August 2007 der Auffassung des Spitals Y.________ angeschlossen hat. Der einzige echtzeitliche Arztbericht, der schon damals die Arbeitsunfähigkeit anders eingeschätzt hatte als die Gutachter des Spitals Y.________, ist gemäss Feststellungen der Vorinstanz eine Einschätzung des Hausarztes Dr. med. F.________, der eine leichte Tätigkeit in einem Pensum von 50 % für denkbar gehalten habe. Darüber hinaus findet die Ansicht der Vorinstanz in den damaligen, der Invaliditätsbemessung zugrunde gelegten ärztlichen Feststellungen keine Grundlage. Sodann sind die im angefochtenen Entscheid erwähnten Gesichtspunkte zum Leistungsvermögen des Versicherten nicht geeignet, eine zweifellose Unrichtigkeit der ärztlichen Angaben zur Arbeitsunfähigkeit im massgebenden Zeitraum nachzuweisen. Der Expertise der Rehaklinik X.________ vom 1. Februar 2011, auf welche sich der angefochtene Entscheid für die Bejahung der Wiedererwägungsvoraussetzungen stützt, ist ein stationärer Klinikaufenthalt des Beschwerdeführers vom 18. bis 28. Oktober 2010 vorausgegangen. Die Gutachter hielten fest, ein gewisses Mass an Schmerzerleben sei aufgrund der degenerativen LWS-Veränderungen erklärbar, nicht jedoch das invalidisierende Ausmass der als erheblich geklagten Schmerzsymptomatik. Sie nahmen indessen ausdrücklich darauf Bezug, dass es sich um die gegenwärtigen Befunde handle und sich die im Gutachten des Spitals Y.________ gestellten Diagnosen und beschriebenen Befunde aktuell nicht erheben liessen. Dementsprechend schätzten die Gutachter der Rehaklinik die Arbeitsfähigkeit für körperlich leichte bis mittelschwere Tätigkeiten auf 100 %, wiesen indessen darauf hin, dass der Versicherte zum Zeitpunkt der Begutachtung im Spital Y.________ insgesamt in einer schlechteren körperlichen Verfassung gewesen sei. Im Gegensatz zur Vorinstanz haben die Ärzte der Rehaklinik erkannt und wiederholt darauf aufmerksam gemacht, dass sie eine Beurteilung für den gegenwärtigen Zeitpunkt abgeben, wobei die Verhältnisse von der früheren tatsächlichen Situation bei Rentenzusprechung klar zu unterscheiden seien.</w:t>
      </w:r>
    </w:p>
    <w:p>
      <w:r>
        <w:rPr>
          <w:b/>
        </w:rPr>
        <w:t>E. 4</w:t>
      </w:r>
    </w:p>
    <w:p>
      <w:r>
        <w:t>Die Vorinstanz hat unter Hinweis auf Art. 17 Abs. 1 ATSG und die Rechtsprechung ( BGE 105 V 29 ; siehe auch BGE 133 V 108 E. 5 S. 110) die Voraussetzungen, unter denen eine Invalidenrente im Rahmen einer Revision für die Zukunft zu erhöhen, herabzusetzen oder aufzuheben ist, sowie die dabei zu vergleichenden Sachverhalte zutreffend dargelegt. Darauf wird verwiesen. In der Folge hat das kantonale Gericht jedoch von einer Prüfung der Revisionsvoraussetzungen gemäss Art. 17 Abs. 1 ATSG abgesehen und sich stattdessen einzig mit der Frage der Wiedererwägung befasst, welche indessen, wie dargelegt (E. 3 hievor), im vorliegenden Fall nicht zum Tragen kommen kann. In der im angefochtenen Entscheid zitierten Expertise der Rehaklinik X.________ vom 1. Februar 2011, basierend auf einem stationären Aufenthalt des Beschwerdeführers (vom 18.-28. Oktober 2010) mit neurologischer, physikalisch-medizinischer und psychiatrischer Begutachtung wird abschliessend auf die entsprechende Frage der IV-Stelle ausgeführt, es sei ganz offensichtlich davon auszugehen, dass sich der Gesundheitszustand des Versicherten in den letzten Jahren verbessert hat. Diese interdisziplinäre ärztliche Beurteilung, die auch in der Stellungnahme zur Arbeitsunfähigkeit zum Ausdruck kommt, (voll leistungsfähig für leichte bis mittelschwere Arbeit), bietet zumindest einen eindeutigen Anhaltspunkt dafür, dass sich die gesundheitliche Situation des Beschwerdeführers verbessert und die Auswirkungen des Leidens auf seine Arbeitsfähigkeit im revisionsrechtlich massgebenden Zeitraum zwischen der Rentenfestsetzung (Verfügung vom 24. Mai 2006/Einspracheentscheid vom 27. September 2006) und der Rentenaufhebung vom 6. Januar 2012 in einer für den Anspruch erheblichen Weise vermindert haben könnten. Die Vorinstanz, an welche die Sache zurückzuweisen ist, wird prüfen, ob die Voraussetzungen für eine Revision der Invalidenrente nach Art. 17 Abs. 1 ATSG erfüllt sind, wobei sie den Parteien das rechtliche Gehör zu gewähren haben wird. Hernach wird sie über die Beschwerde neu entscheiden.</w:t>
      </w:r>
    </w:p>
    <w:p>
      <w:r>
        <w:rPr>
          <w:b/>
        </w:rPr>
        <w:t>E. 5</w:t>
      </w:r>
    </w:p>
    <w:p>
      <w:r>
        <w:t>Der Beschwerdeführer obsiegt insoweit, als der angefochtene Entscheid entsprechend seinem Subeventualantrag aufzuheben und die Sache zu neuer Beurteilung an das kantonale Gericht zurückzuweisen ist, die IV-Stelle insofern, als der Versicherte mit seinem Rechtsbegehren um Weiterausrichtung der Invalidenrente nicht durchgedrungen ist. Diesem Verfahrensausgang entsprechend sind die Gerichtskosten den Parteien je zur Hälfte aufzuerlegen ( Art. 66 Abs. 1 BGG ). Überdies hat die Beschwerdegegnerin dem teilweise obsiegenden Beschwerdeführer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