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63/2012 vom 17. September 2012</w:t>
      </w:r>
    </w:p>
    <w:p>
      <w:r>
        <w:t>Bundesgericht, 2012-09-17, DE</w:t>
      </w:r>
    </w:p>
    <w:p>
      <w:r>
        <w:rPr>
          <w:b/>
        </w:rPr>
        <w:t xml:space="preserve">Quelle: </w:t>
      </w:r>
      <w:r>
        <w:t>https://mcp.opencaselaw.ch/entscheid/bger_9C_63_2012</w:t>
      </w:r>
    </w:p>
    <w:p>
      <w:r>
        <w:t>FR: TF 9C 63/2012 du 17 septembre 2012</w:t>
      </w:r>
    </w:p>
    <w:p>
      <w:r>
        <w:t>IT: TF 9C 63/2012 del 17 settembre 2012</w:t>
      </w:r>
    </w:p>
    <w:p>
      <w:pPr>
        <w:pStyle w:val="Heading2"/>
      </w:pPr>
      <w:r>
        <w:t>Regeste</w:t>
      </w:r>
    </w:p>
    <w:p>
      <w:r>
        <w:t>Invalidenversicherung (Invalidenrente) | Invalidenversicherung</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Die vorinstanzlichen Feststellungen zum Gesundheitszustand, d.h. die Befunderhebung, die gestützt darauf gestellte Diagnose und die ärztliche Stellungnahme zum noch vorhandenen Leistungsvermögen oder (bei psychischen Gesundheitsschäden) zur Verfügbarkeit von Ressourcen der versicherten Person sowie die aufgrund der medizinischen Untersuchungen gerichtlich konstatierte Arbeits(un)fähigkeit betreffen Tatfragen ( BGE 132 V 393 E. 3.2 S. 398), welche sich nach der in E. 1.1 dargelegten gesetzlichen Regelung der Kognition einer freien Überprüfung durch das Bundesgericht entziehen und die es seiner Urteilsfindung zugrunde zu legen hat. Gleiches gilt für die Frage, ob sich eine Arbeits(un)fähigkeit in einem bestimmten Zeitraum in einem revisionsrechtlich relevanten Sinne verändert hat (vgl. Urteil I 865/06 vom 12. Oktober 2007 E. 4). Die konkrete Beweiswürdigung stellt ebenfalls eine Tatfrage dar ( BGE 132 V 393 E. 3.3 S. 399; Urteil 8C_740/2010 vom 29. September 2011 E. 2.2).</w:t>
      </w:r>
    </w:p>
    <w:p>
      <w:r>
        <w:rPr>
          <w:b/>
        </w:rPr>
        <w:t>E. 1.3</w:t>
      </w:r>
    </w:p>
    <w:p>
      <w:r>
        <w:t>Dagegen ist die Beachtung des Untersuchungsgrundsatzes und der Beweiswürdigungsregeln nach Art. 61 lit. c ATSG Rechtsfrage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 Soweit die Zumutbarkeit von Arbeitsleistungen basierend auf der allgemeinen Lebenserfahrung beurteilt wird, geht es ebenfalls um eine Rechtsfrage ( BGE 132 V 393 E. 3.2 S. 398).</w:t>
      </w:r>
    </w:p>
    <w:p>
      <w:r>
        <w:rPr>
          <w:b/>
        </w:rPr>
        <w:t>E. 2</w:t>
      </w:r>
    </w:p>
    <w:p>
      <w:r>
        <w:t>Streitig ist die revisionsweise Aufhebung der Invalidenrente. Das kantonale Gericht hat die gesetzlichen Bestimmungen und von der Rechtsprechung entwickelten Grundsätze, namentlich über die Begriffe der Invalidität ( Art. 8 Abs. 1 ATSG , Art. 4 Abs. 1 IVG ), Arbeitsunfähigkeit ( Art. 6 ATSG ) und Erwerbsfähigkeit ( Art. 7 Abs. 1 ATSG ), den Umfang des Rentenanspruchs ( Art. 28 Abs. 2 IVG ), die Bemessung des Invaliditätsgrades bei erwerbstätigen Versicherten nach der allgemeinen Methode des Einkommensvergleichs ( Art. 28a Abs. 1 IVG und Art. 16 ATSG ; BGE 130 V 343 E. 3.4 S. 348; 128 V 29 E. 1 S. 30; 104 V 135 E. 2a und b S. 136) sowie zum Beweiswert und zur Beweiswürdigung ärztlicher Berichte und Gutachten ( BGE 125 V 351 E. 3a S. 352 mit Hinweis) richtig dargelegt. Darauf wird verwiesen.</w:t>
      </w:r>
    </w:p>
    <w:p>
      <w:r>
        <w:rPr>
          <w:b/>
        </w:rPr>
        <w:t>E. 3.1</w:t>
      </w:r>
    </w:p>
    <w:p>
      <w:r>
        <w:t>Ändert sich der Invaliditätsgrad einer Rentenbezügerin oder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3.2</w:t>
      </w:r>
    </w:p>
    <w:p>
      <w:r>
        <w:t>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w:t>
      </w:r>
    </w:p>
    <w:p>
      <w:r>
        <w:rPr>
          <w:b/>
        </w:rPr>
        <w:t>E. 3.3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w:t>
      </w:r>
    </w:p>
    <w:p>
      <w:r>
        <w:rPr>
          <w:b/>
        </w:rPr>
        <w:t>E. 4</w:t>
      </w:r>
    </w:p>
    <w:p>
      <w:r>
        <w:t>Die Vorinstanz hat die Voraussetzungen für eine Rentenrevision nach Art. 17 Abs. 1 ATSG bejaht. Sie stützte sich bei der Beurteilung der gesundheitlichen Beeinträchtigung im Wesentlichen auf das interdisziplinäre medizinische Gutachten der Dres. med. M.________ und N.________ vom 8. März 2011, dem sie volle Beweiskraft beimass. Gestützt darauf stellte sie eine Verbesserung des Gesundheitszustandes fest und befand die Beschwerdeführerin unter Berücksichtigung des gutachterlich festgesetzten Zumutbarkeitsprofils in ihrer früheren Tätigkeit wieder als vollständig arbeitsfähig.</w:t>
      </w:r>
    </w:p>
    <w:p>
      <w:r>
        <w:rPr>
          <w:b/>
        </w:rPr>
        <w:t>E. 5</w:t>
      </w:r>
    </w:p>
    <w:p>
      <w:r>
        <w:t>Unbestritten ist, dass die Verfügung vom 14. April 2009 den zeitlichen Referenzpunkt für die materielle Prüfung veränderter Verhältnisse bis zum Erlass der Verfügung vom 17. August 2011 bildet. Die Beschwerdeführerin rügt Verstösse der Vorinstanz gegen Bundesrecht ( Art. 95 BGG ) bei Verletzung des Untersuchungsgrundsatzes durch Unterlassung, ein gerichtliches Gutachten in Auftrag zu geben, sowie durch offensichtlich unrichtige und unvollständige Feststellung des Sachverhalts ( Art. 97 BGG ). Zudem habe sie bei der Beurteilung des Rentenanspruchs ausschliesslich auf das "fachlich offensichtlich unhaltbare" psychiatrische Gutachten des Dr. med. N.________ vom 8. März 2011 abgestellt; damit habe sie eine willkürliche und bundesrechtswidrige Beweiswürdigung vorgenommen.</w:t>
      </w:r>
    </w:p>
    <w:p>
      <w:r>
        <w:rPr>
          <w:b/>
        </w:rPr>
        <w:t>E. 6</w:t>
      </w:r>
    </w:p>
    <w:p>
      <w:r>
        <w:t>Die medizinischen Akten ergeben das folgende Bild:</w:t>
      </w:r>
    </w:p>
    <w:p>
      <w:r>
        <w:rPr>
          <w:b/>
        </w:rPr>
        <w:t>E. 6.1</w:t>
      </w:r>
    </w:p>
    <w:p>
      <w:r>
        <w:t>Med. pract. O.________ vom Regionalen Ärztlichen Dienst (RAD), Facharzt für Psychiatrie und Psychotherapie FMH, untersuchte die Beschwerdeführerin am 22. Januar 2008 (RAD-Bericht vom 2. September 2008). Aufgrund der erhobenen Beschwerden war es der Versicherten nicht möglich, als Raumpflegerin zu arbeiten. Hingegen war halbtags eine angepasste Tätigkeit ausführbar, vorausgesetzt es bestand die Möglichkeit, abwechselnd sitzen und gehen zu können und dabei keine Gewichte heben und tragen zu müssen. Aufgrund der depressiven Symptomatik bestand eine zusätzliche Leistungseinschränkung von mindestens 20 %. Mit Auswirkung auf die Arbeitsfähigkeit diagnostizierte der RAD-Arzt eine rezidivierende depressive Störung, gegenwärtig mittelgradig (ICD-10 F33.1), sowie eine anhaltende somatoforme Schmerzstörung (ICD-10 F45.4).</w:t>
      </w:r>
    </w:p>
    <w:p>
      <w:r>
        <w:rPr>
          <w:b/>
        </w:rPr>
        <w:t>E. 6.2</w:t>
      </w:r>
    </w:p>
    <w:p>
      <w:r>
        <w:t>Dr. med. P.________, RAD, Facharzt für Psychiatrie und Psychotherapie FMH, hielt im Bericht vom 27. April 2010 fest, es ergäben sich keine Hinweise für eine wesentliche Veränderung des Gesundheitszustandes und der Arbeitsfähigkeit seit der Untersuchung durch med. pract. O.________ am 22. Januar 2008 (oben E. 6.1). Der behandelnde Psychiater, med. pract. Q.________, nenne im Bericht vom 20. April 2010 die gleichen Diagnosen wie med. pract. O.________ im RAD-Bericht vom 2. September 2008. Zur rezidivierenden depressiven Störung schreibe sie, dass man hier differenzialdiagnostisch auch an eine Anpassungsstörung denken müsse. Dr. med. P.________ bestätigte die von med. pract. O.________ gestellten Diagnosen und befand die Versicherte als Raumpflegerin weiterhin als arbeitsunfähig.</w:t>
      </w:r>
    </w:p>
    <w:p>
      <w:r>
        <w:rPr>
          <w:b/>
        </w:rPr>
        <w:t>E. 6.3</w:t>
      </w:r>
    </w:p>
    <w:p>
      <w:r>
        <w:t>Dr. med. N.________ begründete im Administrativgutachten die festgestellte Verbesserung der Arbeitsfähigkeit einerseits mit einer nunmehr milderen Form der depressiven Störung (jetzt knapp leichtgradige depressive Episode [F33.0]). Die Aktivitäten der Versicherten liessen sich mit einer relevanten Depressivität nicht vereinbaren. Seit dem Unfall im Jahr 2004 bis im April 2010 sei aufgrund der anhaltend schlimmen Eheverhältnisse eine reaktive Genese der Depressionen anzunehmen. Diese Problematik sei jedoch ab November 2010 verschwunden. Dies habe zu einer Verbesserung der rezidivierenden depressiven Störung geführt.</w:t>
      </w:r>
    </w:p>
    <w:p>
      <w:r>
        <w:rPr>
          <w:b/>
        </w:rPr>
        <w:t>E. 7</w:t>
      </w:r>
    </w:p>
    <w:p>
      <w:r>
        <w:t>Die Beschwerdeführerin setzt der Argumentation des Gutachters nichts Stichhaltiges entgegen. Zwar hätten die Ausführungen des behandelnden Psychiaters Q.________ im Einwandschreiben vom 9. Juni 2011 die Verwaltung veranlassen können, Dr. med. N.________ zu einer Stellungnahme zu den gegen die Art seiner Begutachtung erhobenen Vorwürfen einzuladen. Denn ein Gutachten ist nur beweistauglich, wenn die rechtsrelevanten Tatsachen aus neutraler Sicht dargelegt werden (vgl. Urteil 9C_391/2010 vom 19. Juli 2010 E. 3.2.2 mit Hinweis auf BGE 127 V 294 E. 51 S. 299). Auch wenn die Art und Weise einer - wie vom behandelnden Arzt geschilderten - Exploration für die Patientin durchaus eine Belastung darstellen könnte, änderte dies am verwertbaren Gehalt der Aussage des Gutachtens nichts, wie die Vorinstanz sinngemäss feststellte (vorinstanzliche E. 3.5 zweiter Absatz). Dass der behandelnde Psychiater sich in diagnostischer Hinsicht mit der gutachterlichen Beurteilung nicht einverstanden erklären konnte, hat die Vorinstanz in ihrem Entscheid berücksichtigt und dazu das Erforderliche ausgeführt (vorinstanzliche E. 3.5 erster Absatz). So trifft es zu, dass der Psychiater anlässlich des Auszuges des Ehemannes aus der Familienwohnung selbst eine Verbesserung der gesundheitlichen Situation der Versicherten festgestellt hat. Auch er hat damit zum Ausdruck gebracht, dass die Depression zumindest teilweise in einem direkten Zusammenhang mit den schwierigen familiären Verhältnissen stand (vgl. Bericht vom 9. September 2007). Inzwischen ist das Ehepaar richterlich getrennt und der Ehemann hat sich von der Familie zurückgezogen, weshalb die - nach den konkreten Umständen mit überwiegender Wahrscheinlichkeit getroffene - vorinstanzliche Feststellung standhält, dass es durch den Wegfall von krankheitsauslösenden psychosozialen Faktoren inzwischen zu einer erheblichen Verbesserung des Gesundheitszustandes gekommen war, was administrativgutachterlich schlüssig ausgewiesen ist.</w:t>
      </w:r>
    </w:p>
    <w:p>
      <w:r>
        <w:rPr>
          <w:b/>
        </w:rPr>
        <w:t>E. 8</w:t>
      </w:r>
    </w:p>
    <w:p>
      <w:r>
        <w:t>Unter Würdigung der gesamten Aktenlage ist erstellt, dass die gutachterliche Stellungnahme zur Arbeitsunfähigkeit nicht bloss eine revisionsrechtlich unerhebliche Neubeurteilung eines unveränderten Sachverhaltes, sondern Ausdruck tatsächlich geänderter Verhältnisse war (SVR 1996 IV Nr. 70 S. 203 E. 3b). Das Gericht hat sich mit den spezifischen Gegebenheiten des Falles auseinandergesetzt. Aufgrund der Aktenlage durfte das kantonale Gericht ohne Verletzung von Bundesrecht auf das Vorliegen eines Revisionsgrundes schliessen; insbesondere kann von einem Verstoss gegen den Untersuchungsgrundsatz angesichts der erfolgten und zu einem schlüssigen Beweisergebnis führenden bidisziplinären Administrativbegutachtung nicht die Rede sein. Die Beschwerde dringt nicht durch.</w:t>
      </w:r>
    </w:p>
    <w:p>
      <w:r>
        <w:rPr>
          <w:b/>
        </w:rPr>
        <w:t>E. 9</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