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9C_639/2020 vom 27. Oktober 2020</w:t>
      </w:r>
    </w:p>
    <w:p>
      <w:r>
        <w:t>Bundesgericht, 2020-10-27, DE</w:t>
      </w:r>
    </w:p>
    <w:p>
      <w:r>
        <w:rPr>
          <w:b/>
        </w:rPr>
        <w:t xml:space="preserve">Quelle: </w:t>
      </w:r>
      <w:r>
        <w:t>https://mcp.opencaselaw.ch/entscheid/bger_9C_639_2020</w:t>
      </w:r>
    </w:p>
    <w:p>
      <w:r>
        <w:t>FR: TF 9C_639/2020 du 27 octobre 2020</w:t>
      </w:r>
    </w:p>
    <w:p>
      <w:r>
        <w:t>IT: TF 9C_639/2020 del 27 ottobre 2020</w:t>
      </w:r>
    </w:p>
    <w:p>
      <w:pPr>
        <w:pStyle w:val="Heading2"/>
      </w:pPr>
      <w:r>
        <w:t>Volltext</w:t>
      </w:r>
    </w:p>
    <w:p>
      <w:r>
        <w:t>Bundesgericht</w:t>
      </w:r>
    </w:p>
    <w:p>
      <w:r>
        <w:t>Tribunal fédéral</w:t>
      </w:r>
    </w:p>
    <w:p>
      <w:r>
        <w:t>Tribunale federale</w:t>
      </w:r>
    </w:p>
    <w:p>
      <w:r>
        <w:t>Tribunal federal</w:t>
      </w:r>
    </w:p>
    <w:p>
      <w:r>
        <w:t>9C_639/2020</w:t>
      </w:r>
    </w:p>
    <w:p>
      <w:r>
        <w:t>Urteil vom 27. Oktober 2020</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Helsana Versicherungen AG,</w:t>
      </w:r>
    </w:p>
    <w:p>
      <w:r>
        <w:t>Zürichstrasse 130, 8600 Dübendorf,</w:t>
      </w:r>
    </w:p>
    <w:p>
      <w:r>
        <w:t>vertreten durch Helsana Versicherungen AG,</w:t>
      </w:r>
    </w:p>
    <w:p>
      <w:r>
        <w:t>Spezial-Inkasso, Postfach, 8081 Zürich Helsana,</w:t>
      </w:r>
    </w:p>
    <w:p>
      <w:r>
        <w:t>Beschwerdegegnerin.</w:t>
      </w:r>
    </w:p>
    <w:p>
      <w:r>
        <w:t>Gegenstand</w:t>
      </w:r>
    </w:p>
    <w:p>
      <w:r>
        <w:t>Krankenversicherung,</w:t>
      </w:r>
    </w:p>
    <w:p>
      <w:r>
        <w:t>Beschwerde gegen den Entscheid des Versicherungsgerichts des Kantons Solothurn vom 26. August 2020 (VSBES.2020.20).</w:t>
      </w:r>
    </w:p>
    <w:p>
      <w:r>
        <w:t>Nach Einsicht</w:t>
      </w:r>
    </w:p>
    <w:p>
      <w:r>
        <w:t>in die Beschwerde vom 6. Oktober 2020 (Poststempel) gegen den Entscheid des Versicherungsgerichts des Kantons Solothurn vom 26. August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die Eingabe vom 26. August 2020 diesen inhaltlichen Mindestanforderungen nicht genügt, da sich die Beschwerdeführerin nicht in hinreichender Weise mit den entscheidenden Darlegungen der Vorinstanz auseinandersetzt und ihren Ausführungen nicht entnommen werden kann, inwiefern die Sachverhaltsfeststellung im Sinne von Art. 97 Abs. 1 BGG - soweit überhaupt beanstandet - offensichtlich unzutreffend und die darauf beruhenden Erwägungen rechtsfehlerhaft im Sinne von Art. 95 BGG sein sollen,</w:t>
      </w:r>
    </w:p>
    <w:p>
      <w:r>
        <w:t>dass dies insbesondere der Fall ist in Bezug auf die Erwägungen des kantonalen Gerichts, wonach eine ununterbrochene Versicherungspflicht der Beschwerdeführerin in der Schweiz erstellt sei, und dass es nicht zu beanstanden sei, dass die Beschwerdegegnerin die säumige Beschwerdeführerin - trotz zwischenzeitlichem Abschluss eines anderen Versicherungsvertrags mit einem anderen Versicherer - nicht aus dem Versicherungsverhältnis entlassen habe,</w:t>
      </w:r>
    </w:p>
    <w:p>
      <w:r>
        <w:t>dass sich die Vorbringen der Beschwerdeführerin, soweit verständlich und sachbezogen, darauf beschränken, die eigene Sichtweise wiederzugeben, allgemeine Fragen (unter anderem betreffend Rechtsmittelfristen sowie zu ausserhalb des Streitgegenstands liegenden konkreten Leistungspflichten der Beschwerdegegnerin) aufzuwerfen und rein appellatorische Kritik (unter anderem betreffend Verzugszins und Mahnkosten) zu üben, was im bundesgerichtlichen Verfahren nicht ausreicht ( BGE 140 III 264 E. 2.3 S. 266 mit Hinweisen),</w:t>
      </w:r>
    </w:p>
    <w:p>
      <w:r>
        <w:t>dass mit Blick auf die ungenügende Begründung offen bleiben kann, ob überhaupt ein rechtsgenüglicher Antrag vorliegt,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27. Oktober 2020</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