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638/2014 vom 13. August 2015</w:t>
      </w:r>
    </w:p>
    <w:p>
      <w:r>
        <w:t>Bundesgericht, 2015-08-13, FR</w:t>
      </w:r>
    </w:p>
    <w:p>
      <w:r>
        <w:rPr>
          <w:b/>
        </w:rPr>
        <w:t xml:space="preserve">Quelle: </w:t>
      </w:r>
      <w:r>
        <w:t>https://mcp.opencaselaw.ch/entscheid/bger_9C_638_2014</w:t>
      </w:r>
    </w:p>
    <w:p>
      <w:r>
        <w:t>FR: TF 9C 638/2014 du 13 août 2015</w:t>
      </w:r>
    </w:p>
    <w:p>
      <w:r>
        <w:t>IT: TF 9C 638/2014 del 13 agosto 2015</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en l'occurrence litigieux le bien-fondé du refus par le service intimé de remettre l'obligation de la recourante de restituer 260'245 fr. 85, qui correspondent aux prestations complémentaires perçues indûment par B.________ durant la période comprise entre les 1er juillet 2000 et 31 octobre 2009. Vu les griefs soulevés contre le jugement cantonal (à propos du devoir d'allégation et de motivation, cf. Florence Aubry Girardin, in: Commentaire de la LTF, 2e éd. 2014, n° 24 ad art. 42 LTF et les références jurisprudentielles citées), il s'agit plus particulièrement de déterminer si l'intéressée peut se prévaloir de sa bonne foi.</w:t>
      </w:r>
    </w:p>
    <w:p>
      <w:r>
        <w:rPr>
          <w:b/>
        </w:rPr>
        <w:t>E. 3.1</w:t>
      </w:r>
    </w:p>
    <w:p>
      <w:r>
        <w:t>Les prestations indûment perçues doivent être restituées sauf si la restitution placerait l'intéressé de bonne foi dans une situation précaire (cf. art. 25 al. 1 LPGA ).</w:t>
      </w:r>
    </w:p>
    <w:p>
      <w:r>
        <w:rPr>
          <w:b/>
        </w:rPr>
        <w:t>E. 3.2</w:t>
      </w:r>
    </w:p>
    <w:p>
      <w:r>
        <w:t>La restitution de prestations - au sens de l' art. 25 al. 1 LPGA ainsi que de la jurisprudence qui en découle - nécessite en principe la mise en oeuvre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 notamment, l'examen à l'aune de l'art. 25 al. 1 première phrase LPGA des effets dans le temps de la correction à effectuer en raison du caractère indu des prestations; la troisième étape porte sur la remise de l'obligation de restituer, au sens de l'art. 25 al. 1 seconde phrase LPGA (cf. art. 3 et 4 OPGA ; voir aussi arrêt du Tribunal fédéral des assurances P 62/04 du 6 juin 2005 consid. 1.2; arrêt 9C_86/2014 du 5 juin 2014 consid. 3.2; Kieser, ATSG-Kommentar, 2e éd., 2009, n° 8 ad art. 25 LPGA ). 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(cf. arrêt du Tribunal fédéral des assurances P 31/87 du 10 mai 1987 consid. 3a).</w:t>
      </w:r>
    </w:p>
    <w:p>
      <w:r>
        <w:rPr>
          <w:b/>
        </w:rPr>
        <w:t>E. 4.1</w:t>
      </w:r>
    </w:p>
    <w:p>
      <w:r>
        <w:t>La bonne foi et la situation difficile sont des conditions cumulatives dont la réalisation est nécessaire pour qu'une remise de l'obligation de restituer soit accordée (cf. ATF 126 V 48 consid. 3c p. 53).</w:t>
      </w:r>
    </w:p>
    <w:p>
      <w:r>
        <w:rPr>
          <w:b/>
        </w:rPr>
        <w:t>E. 4.2</w:t>
      </w:r>
    </w:p>
    <w:p>
      <w:r>
        <w:t>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On peut attendre d'un assuré qu'il décèle des erreurs manifestes et qu'il en fasse l'annonce à la caisse (cf. arrêt 9C_189/2012 du 21 août 2012 consid. 4 et les références). L'assuré peut en revanche invoquer sa bonne foi lorsque l'acte ou l'omission fautifs ne constituent qu'une violation légère de l'obligation d'annoncer ou de renseigner (cf. ATF 138 V 218 consid. 4 p. 220 s.; 112 V 97 consid. 2c p. 103 et les références; arrêt 9C_474/2009 du 21 août 2009 consid. 2).</w:t>
      </w:r>
    </w:p>
    <w:p>
      <w:r>
        <w:rPr>
          <w:b/>
        </w:rPr>
        <w:t>E. 5.1</w:t>
      </w:r>
    </w:p>
    <w:p>
      <w:r>
        <w:t>La juridiction cantonale a considéré que la recourante ne pouvait exciper de sa bonne foi dans la mesure où, compte tenu du fait qu'elle avait apposé sa signature sur la demande de prestations de 1994, elle devait savoir qu'elle avait l'obligation d'informer le service intimé, si ce n'est de l'exercice ou de la reprise d'une activité lucrative, au moins de sa séparation d'avec B.________; l'omission d'annoncer la séparation a été qualifiée de négligence grave.</w:t>
      </w:r>
    </w:p>
    <w:p>
      <w:r>
        <w:rPr>
          <w:b/>
        </w:rPr>
        <w:t>E. 5.2</w:t>
      </w:r>
    </w:p>
    <w:p>
      <w:r>
        <w:t>Entre autres arguments, l'intéressée reproche au tribunal cantonal de ne pas avoir tenu compte des circonstances extraordinaires du cas particulier, notamment l'ignorance de son droit à des prestations complémentaires et l'absence de négligence quant à son obligation d'annoncer.</w:t>
      </w:r>
    </w:p>
    <w:p>
      <w:r>
        <w:rPr>
          <w:b/>
        </w:rPr>
        <w:t>E. 6.1</w:t>
      </w:r>
    </w:p>
    <w:p>
      <w:r>
        <w:t>En l'occurrence, une simple lecture du jugement entrepris montre que, même s'ils ne l'affirment pas clairement, les premiers juges ont considéré que la recourante était bénéficiaire de prestations complémentaires et que celles-ci étaient versées en mains de son premier mari. Cette appréciation des pièces qui étaient à leur disposition ne résiste pas à l'examen. En effet, à l'instar de ce que le Tribunal fédéral a déjà eu l'occasion de relever dans un cas similaire (cf. arrêt 9C_211/2009 du 26 février 2010 in SVR 2010 EL n° 10 p. 27), le seul fait que l'intéressée a signé le formulaire de demande le 11 octobre 1994 en qualité d'épouse d'un requérant de prestations complémentaires et qu'elle a joué un rôle dans le calcul des prestations allouées à son ex-époux ne suffit pas pour en faire une bénéficiaire de prestations complémentaires (titulaire d'un droit propre ou autonome, d'autant moins qu'elle n'avait alors aucun droit à une rente de l'assurance-invalidité au contraire de son époux) ni une personne soumise à l'obligation de restituer du vivant de son mari au sens de l' art. 2 al. 1 OPGA . Par ailleurs, elle ne saurait être recherchée en restitution en tant que codébitrice solidaire de la dette de son époux au titre de l' art. 166 al. 3 CC , dès lors que cela reviendrait à étendre le champ des personnes tenues à restitution au sens de la dernière jurisprudence citée et que l'application de la disposition légale évoquée suppose la persistance de la vie commune (cf. arrêt K 140/01 du 16 décembre 2003 in RAMA 2004 KV 278 149 et in SVR 2004 KV n° 10 p. 33; voir également Audrey Leuba, in Pichonnaz/Foëx (éd.), Commentaire romand, Code civil I, 2010, n°12. ad art. 166 CC ), ce qui n'était plus le cas depuis le 1er avril 2000. C'est le lieu de préciser qu'au regard de l'entrée en force de la décision de restitution (décisions du 30 juin 2010 et jugement cantonal du 5 novembre 2012), le principe de la restitution ne peut pas être examiné par le Tribunal fédéral (consid. 3.2 supra), les conditions strictes posées par la jurisprudence en matière de nullité d'une décision administrative n'étant pas réalisées (à ce sujet, voir ATF 132 II 21 consid. 3.1 p. 27; arrêt 9C_333/2007 du 24 juillet 2008 consid. 2.1, in SVR 2009 AHV n° 1 p. 1), ni au demeurant invoquées par la recourante. Pour cette raison, il n'y a pas lieu de revenir sur la jurisprudence instaurée par l'arrêt 9C_211/2009.</w:t>
      </w:r>
    </w:p>
    <w:p>
      <w:r>
        <w:rPr>
          <w:b/>
        </w:rPr>
        <w:t>E. 6.2</w:t>
      </w:r>
    </w:p>
    <w:p>
      <w:r>
        <w:t>Compte tenu de ce qui précède, il apparaît que la recourante ne disposait d'aucun droit propre ou autonome ni n'était soumise à aucune obligation découlant du Code civil suisse vis-à-vis du service intimé. Il ne saurait par conséquent lui être reproché d'avoir violé un quelconque devoir d'annoncer. Partant, sa bonne foi doit être reconnue. En conséquence, il convient d'annuler le jugement attaqué ainsi que la décision litigieuse et de renvoyer la cause à l'administration afin qu'elle examine la seconde condition cumulative de la remise de l'obligation de restituer (situation difficile) et rende une nouvelle décision.</w:t>
      </w:r>
    </w:p>
    <w:p>
      <w:r>
        <w:rPr>
          <w:b/>
        </w:rPr>
        <w:t>E. 7</w:t>
      </w:r>
    </w:p>
    <w:p>
      <w:r>
        <w:t>Vu l'issue du litige, les frais judiciaires et les dépens de la recourante doivent être mis à la charge du service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