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9C_636/2015 vom 2. Februar 2016</w:t>
      </w:r>
    </w:p>
    <w:p>
      <w:r>
        <w:t>Bundesgericht, 2016-02-02, DE</w:t>
      </w:r>
    </w:p>
    <w:p>
      <w:r>
        <w:rPr>
          <w:b/>
        </w:rPr>
        <w:t xml:space="preserve">Quelle: </w:t>
      </w:r>
      <w:r>
        <w:t>https://mcp.opencaselaw.ch/entscheid/bger_9C_636_2015</w:t>
      </w:r>
    </w:p>
    <w:p>
      <w:r>
        <w:t>FR: TF 9C_636/2015 du 2 février 2016</w:t>
      </w:r>
    </w:p>
    <w:p>
      <w:r>
        <w:t>IT: TF 9C_636/2015 del 2 febbraio 2016</w:t>
      </w:r>
    </w:p>
    <w:p>
      <w:pPr>
        <w:pStyle w:val="Heading2"/>
      </w:pPr>
      <w:r>
        <w:t>Erwägungen</w:t>
      </w:r>
    </w:p>
    <w:p>
      <w:r>
        <w:rPr>
          <w:b/>
        </w:rPr>
        <w:t>E. 1</w:t>
      </w:r>
    </w:p>
    <w:p>
      <w:r>
        <w:t>Gegenstand der Verfügung vom 6. Januar 2015 war lediglich der Anspruch auf eine Invalidenrente: Die IV-Stelle wies zutreffend darauf hin, dass die beruflichen Eingliederungsmassnahmen im Juni 2013 abgeschlossen worden seien. In der entsprechenden Mitteilung vom 28. Juni 2013hatte sie denn auch auf die Möglichkeit eines neuen Gesuchs verwiesen, welches indessen nicht aktenkundig ist. Demzufolge hat das kantonale Gericht zu Recht ebenfalls einzig den Anspruch auf eine Invalidenrente beurteilt (vgl. BGE 131 V 164 E. 2.1 S. 164 f.; 125 V 413 E. 1 S. 414 f.).</w:t>
      </w:r>
    </w:p>
    <w:p>
      <w:r>
        <w:rPr>
          <w:b/>
        </w:rPr>
        <w:t>E. 2.1</w:t>
      </w:r>
    </w:p>
    <w:p>
      <w:r>
        <w:t>Das Bundesgericht befasste sich im Leiturteil BGE 141 V 281 einlässlich mit der Rechtsprechung zu den anhaltenden somatoformen Schmerzstörungen ( BGE 130 V 352 ) und damit vergleichbaren psychosomatischen Leiden (vgl. BGE 140 V 8 E. 2.2.1.3 S. 13 f.). Es entschied, die Überwindbarkeitsvermutung aufzugeben und das bisherige Regel/Ausnahme-Modell durch einen strukturierten normativen Prüfungsraster zu ersetzen. Danach sind für die Beurteilung der Arbeitsfähigkeit bei den genannten Gesundheitsschäden systematisierte Indikatoren beachtlich, die erlauben - unter Berücksichtigung leistungshindernder äusserer Belastungsfaktoren einerseits und Kompensationspotentialen (Ressourcen) anderseits - das tatsächlich erreichbare Leistungsvermögen einzuschätzen ( BGE 141 V 281 E. 2 S. 285 ff.,    E. 3.4-3.6 und 4.1 S. 291 ff.).</w:t>
      </w:r>
    </w:p>
    <w:p>
      <w:r>
        <w:rPr>
          <w:b/>
        </w:rPr>
        <w:t>E. 2.2</w:t>
      </w:r>
    </w:p>
    <w:p>
      <w:r>
        <w:t>Nach BGE 141 V 281 E. 8 S. 309 ist in intertemporalrechtlicher Hinsicht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 BGE 137 V 210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unter Umständen eine punktuelle Ergänzung genügen. Allenfalls ist aber eine umfassende (mono- oder multidisziplinäre) neue Expertise erforderlich (vgl. etwa Urteile 9C_615/2015 vom 12. Januar 2016 E. 6.3; 8C_566/2015 vom 22. Dezember 2015 E. 6.2; 9C_148/2015 vom 16. November 2015 E. 5.2).</w:t>
      </w:r>
    </w:p>
    <w:p>
      <w:r>
        <w:rPr>
          <w:b/>
        </w:rPr>
        <w:t>E. 3</w:t>
      </w:r>
    </w:p>
    <w:p>
      <w:r>
        <w:t>Die Vorinstanz hat dem Gutachten des Ärztlichen Begutachtungsinstitutes (ABI) vom 1. September 2014 Beweiskraft beigemessen. Sie hat es auch mit Blick auf die (geänderte) Rechtsprechung von BGE 141 V 281 für schlüssig gehalten: Soweit tatsächlich vom Vorliegen einer somatoformen Schmerzstörung auszugehen sei, führe die Beurteilung anhand der Standardindikatoren zum Schluss, dass funktionelle Auswirkungen nicht mit überwiegender Wahrscheinlichkeit nachgewiesen seien. Gestützt auf das ABI-Gutachten hat das kantonale Gericht eine uneingeschränkte Arbeitsfähigkeit in der angestammten und jeder anderen, höchstens mittelschwer belastenden Tätigkeit mit mittelstarker Rückenbelastung festgestellt. In der Folge hat es dennoch, und zwar in Bezug auf generell zumutbare Tätigkeiten, eine Invaliditätsbemessung vorgenommen. Dabei hat es das Valideneinkommen auf Fr. 63'296.- und das Invalideneinkommen auf Fr. 43'725.- festgelegt. Beim maximal resultierenden Invaliditätsgrad von 31 % hat es einen Rentenanspruch verneint ( Art. 28 Abs. 2 IVG ).</w:t>
      </w:r>
    </w:p>
    <w:p>
      <w:r>
        <w:rPr>
          <w:b/>
        </w:rPr>
        <w:t>E. 4.1</w:t>
      </w:r>
    </w:p>
    <w:p>
      <w:r>
        <w:t>Die Beschwerdeführerin rügt in formeller Hinsicht eine Verletzung ihres Anspruchs auf rechtliches Gehör ( Art. 29 Abs. 2 BV ). Dieser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272 E. 5b/bb S. 278; Urteil 9C_880/2014 vom 6. November 2015 E. 3.2.1).</w:t>
      </w:r>
    </w:p>
    <w:p>
      <w:r>
        <w:rPr>
          <w:b/>
        </w:rPr>
        <w:t>E. 4.2</w:t>
      </w:r>
    </w:p>
    <w:p>
      <w:r>
        <w:t>Die angefochtene Verfügung vom 6. Januar 2015 erging unter Geltung der nunmehr aufgehobenen (vgl. E. 2.1) Rechtsprechung von BGE 130 V 352 . Die Vorinstanz führte unter dieser Prämisse einen zweifachen Schriftenwechsel durch und nahm die Schlussbemerkungen der Parteien vom 1. und 9. Juni 2015 zu den Akten.</w:t>
      </w:r>
    </w:p>
    <w:p>
      <w:r>
        <w:t>Das Bundesgericht erliess das Urteil 9C_492/2014 ( BGE 141 V 281 ) am 3. Juni 2015 und veröffentlichte es am 17. Juni 2015 auf seiner Webseite. Damit wurden Umstände rechtlich bedeutsam, welche die Verwaltung - wie auch die Versicherte - aufgrund der bei Erlass der angefochtenen Verfügung geltenden Praxis nicht festzustellen bzw. zu würdigen brauchte (vgl. Urteil 9C_822/2014 vom 29. Oktober 2015    E. 2). Bereits am 15. Juli 2015 erliess die Vorinstanz den angefochtenen Entscheid, ohne den Parteien zuvor (explizit) Gelegenheit gegeben zu haben, aufgrund des Grundsatzurteils BGE 141 V 281 allfällige Ergänzungen anzubringen.</w:t>
      </w:r>
    </w:p>
    <w:p>
      <w:r>
        <w:rPr>
          <w:b/>
        </w:rPr>
        <w:t>E. 4.3</w:t>
      </w:r>
    </w:p>
    <w:p>
      <w:r>
        <w:t>Allenfalls dürfte von einer anwaltlich vertretenen Partei erwartet werden (vgl. Art. 5 Abs. 3 BV ), dass sie resp. ihr Rechtsvertreter um eine Änderung der Rechtsprechung weiss und mit diesbezüglichen Ergänzungen aus eigenem Antrieb während eines laufenden Beschwerdeverfahrens an die angerufene Rechtsmittelinstanz gelangt. Auch wenn dem so wäre, müsste dennoch nicht damit gerechnet werden, dass der Beschwerdeentscheid, in dem eine grundlegend neue Rechtspraxis von zentraler Bedeutung ist, schon vier Wochen nach Bekanntwerden der Praxisänderung getroffen wird, zumal diese Zeitspanne kürzer als die im fraglichen Verfahren geltende Rechtsmittelfrist (vgl. Art. 60 ATSG ) ist. Demnach war es in concreto der Versicherten verwehrt, vor Erlass des angefochtenen Entscheids den geltend gemachten Leistungsanspruch mit Blick auf BGE 141 V 281 (E. 2.1) resp. die Notwendigkeit einer erneuten Begutachtung (E. 2.2) zu begründen. Die Vorinstanz hat den hier interessierenden (E. 1) Leistungsanspruch im Wesentlichen - und angesichts der im ABI-Gutachten aufgeführten Diagnosen grundsätzlich zu Recht - im Lichte der Rechtsprechung von BGE 141 V 281 beurteilt. Weil sie den Parteien dazu das rechtliche Gehör nicht gewährt hatte, rechtfertigt es sich, die Sache an sie zurückzuweisen, damit sie dies nachhole und anschliessend über die Beschwerde neu entscheide.</w:t>
      </w:r>
    </w:p>
    <w:p>
      <w:r>
        <w:rPr>
          <w:b/>
        </w:rPr>
        <w:t>E. 4.4</w:t>
      </w:r>
    </w:p>
    <w:p>
      <w:r>
        <w:t>Bei dieser Sachlage erübrigt es sich zum heutigen Zeitpunkt, die von der Beschwerdeführerin vorgebrachten Einwände materieller Natur zu prüfen.</w:t>
      </w:r>
    </w:p>
    <w:p>
      <w:r>
        <w:rPr>
          <w:b/>
        </w:rPr>
        <w:t>E. 5</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