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9C_636/2014 vom 10. November 2014</w:t>
      </w:r>
    </w:p>
    <w:p>
      <w:r>
        <w:t>Bundesgericht, 2014-11-10, FR</w:t>
      </w:r>
    </w:p>
    <w:p>
      <w:r>
        <w:rPr>
          <w:b/>
        </w:rPr>
        <w:t xml:space="preserve">Quelle: </w:t>
      </w:r>
      <w:r>
        <w:t>https://mcp.opencaselaw.ch/entscheid/bger_9C_636_2014</w:t>
      </w:r>
    </w:p>
    <w:p>
      <w:r>
        <w:t>FR: TF 9C_636/2014 du 10 novembre 2014</w:t>
      </w:r>
    </w:p>
    <w:p>
      <w:r>
        <w:t>IT: TF 9C_636/2014 del 10 novembre 2014</w:t>
      </w:r>
    </w:p>
    <w:p>
      <w:pPr>
        <w:pStyle w:val="Heading2"/>
      </w:pPr>
      <w:r>
        <w:t>Erwägungen</w:t>
      </w:r>
    </w:p>
    <w:p>
      <w:r>
        <w:rPr>
          <w:b/>
        </w:rPr>
        <w:t>E. 1</w:t>
      </w:r>
    </w:p>
    <w:p>
      <w:r>
        <w:t>L'acte attaqué en instance fédérale est une décision prise par une autorité cantonale de dernière instance, par laquelle celle-ci a mis fin à la procédure en reconnaissant le droit de l'intimée à une demi-rente de l'assurance-invalidité. Il s'agit donc d'une décision finale au sens de l' art. 90 LTF et le recours en matière de droit public formé à son encontre est recevable.</w:t>
      </w:r>
    </w:p>
    <w:p>
      <w:r>
        <w:rPr>
          <w:b/>
        </w:rPr>
        <w:t>E. 2.1</w:t>
      </w:r>
    </w:p>
    <w:p>
      <w:r>
        <w:t>La décision incidente (du 10 décembre 2013) attaquée en instance cantonale portait sur la mise en oeuvre d'une expertise médicale pluridisciplinaire. Après avoir retenu que l'office AI avait correctement donné suite à son arrêt du 20 août 2013 en notifiant à l'intimée la décision incidente sujette à recours, la juridiction cantonale a procédé à une appréciation de l'expertise de la Clinique B.________. Elle est arrivée à la conclusion que le rapport du 7 septembre 2010 avait pleine valeur probante et qu'une seconde expertise ne se justifiait pas. Elle en a déduit que l'assurée était incapable de travailler à 50 % dans son activité de serveuse depuis le mois de février 2008. Considérant que dans un tel cas l'incapacité de travail se confondait avec le degré d'invalidité, elle a fixé à 50 % le taux d'invalidité de l'intimée et lui a reconnu le droit à une demi-rente d'invalidité à partir du mois de février 2009.</w:t>
      </w:r>
    </w:p>
    <w:p>
      <w:r>
        <w:rPr>
          <w:b/>
        </w:rPr>
        <w:t>E. 2.2</w:t>
      </w:r>
    </w:p>
    <w:p>
      <w:r>
        <w:t>En instance cantonale, l'objet de la contestation qui a été déféré par l'intimée à la juridiction cantonale - et qui est déterminé par la décision (incidente) du 10 décembre 2013 - portait sur le maintien de la mise en oeuvre d'une expertise pluridisciplinaire. En statuant sur le droit de l'assurée à une rente d'invalidité, la juridiction cantonale a par conséquent étendu la procédure à une question allant au-delà de l'objet de la contestation. En instance fédérale, le litige concerne donc le point de savoir si les conditions de l'extension de la procédure cantonale de recours à la question du droit à la rente étaient réalisées.</w:t>
      </w:r>
    </w:p>
    <w:p>
      <w:r>
        <w:t>Le recourant le conteste, en faisant valoir qu'il n'a pas été invité à se déterminer sur cette question et qu'il n'y a pas de lien de connexité entre la mise en oeuvre d'une expertise et l'octroi d'une demi-rente d'invalidité. De son côté, l'intimée soutient que l'argumentation du recourant quant au "cadre matériel admissible" de l'objet du litige repose sur une doctrine et une jurisprudence dépassées depuis l'entrée en vigueur de la LPGA (RS 830.1).</w:t>
      </w:r>
    </w:p>
    <w:p>
      <w:r>
        <w:rPr>
          <w:b/>
        </w:rPr>
        <w:t>E. 3.1</w:t>
      </w:r>
    </w:p>
    <w:p>
      <w:r>
        <w:t>Selon une jurisprudence constante qui, quoi qu'en dise l'intimée, garde toute sa valeur sous l'empire de la LPGA,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 ATF 130 V 503 consid. 1.2 p. 503 et les références; arrêt 9C_678/2011 du 4 janvier 2012 consid. 3.3 [SVR 2012 IV n° 35 p. 136]).</w:t>
      </w:r>
    </w:p>
    <w:p>
      <w:r>
        <w:rPr>
          <w:b/>
        </w:rPr>
        <w:t>E. 3.2</w:t>
      </w:r>
    </w:p>
    <w:p>
      <w:r>
        <w:t>En l'espèce, la juridiction cantonale a étendu la procédure sans respecter les conditions précitées. Si elle a certes donné l'occasion au recourant de répondre au recours de l'intimée, elle n'a cependant pas informé les parties de son intention de statuer sur la question du droit à la rente et ne les a donc pas invitées à se prononcer sur ce rapport juridique. On ne saurait par ailleurs déduire des écritures de l'office recourant (des 25 février et 31 mars 2014), qui avaient exclusivement trait à la nécessité de mettre en oeuvre une expertise médicale, qu'il aurait tacitement acquiescé à une extension de la procédure. En raison déjà de la violation du droit d'être entendu qui en résulte pour les parties, en particulier pour le recourant, il convient d'annuler le jugement entrepris ( art. 95 let. a LTF ).</w:t>
      </w:r>
    </w:p>
    <w:p>
      <w:r>
        <w:t>Par ailleurs, dès lors qu'il s'agissait pour les premiers juges de se prononcer sur une décision incidente relative à la nécessité ou non d'une nouvelle expertise médicale, on ne voit pas que la question litigieuse sur le fond (soit le droit à une rente d'invalidité) fût déjà en état d'être jugée. L'examen des conditions du droit à une rente de l'assurance-invalidité suppose que les éléments de fait y relatifs soient suffisamment déterminés, au regard, en particulier, de l'existence d'une atteinte à la santé et de ses répercussions éventuelles sur la capacité de travail de l'assurée. Or la situation sur le plan médical ne peut pas être considérée comme suffisamment éclaircie, avant que la question de savoir si une nouvelle expertise médicale est nécessaire ne soit tranchée.</w:t>
      </w:r>
    </w:p>
    <w:p>
      <w:r>
        <w:rPr>
          <w:b/>
        </w:rPr>
        <w:t>E. 3.3</w:t>
      </w:r>
    </w:p>
    <w:p>
      <w:r>
        <w:t>Ensuite de ce qui précède, le recours se révèle bien fondé, dans la mesure où il conduit à l'annulation du jugement entrepris.</w:t>
      </w:r>
    </w:p>
    <w:p>
      <w:r>
        <w:t>Cela étant, la cause doit être renvoyée au recourant pour le motif suivant. Par le prononcé incident attaqué en instance cantonale, l'office AI a uniquement décidé, selon le dispositif de l'acte du 10 décembre 2013, que "l'expertise médicale pluridisciplinaire est maintenue". Il a précisé que le choix du centre d'expertise serait fait par la plateforme SuisseMED@P. Or une telle décision, qui ne mentionne pas un centre d'expertise déterminé ou le nom des experts mais indique que l'institution d'expertise sera choisie selon le système d'attribution SuisseMED@P en vertu de l' art. 72bis RAI , ne peut pas faire l'objet d'un recours devant la juridiction de première instance. On ne voit en effet pas en quoi une telle décision entraîne un désavantage pour la personne assurée, avant que le nom du centre d'expertise ne soit déterminé par ledit système et connu des parties ( ATF 139 V 339 consid. 4.5 p. 343). Il revient par conséquent à l'office AI de rendre une nouvelle décision après avoir mis en oeuvre la procédure d'attribution du mandat via SuisseMED@P et pris connaissance de son résultat. Cette décision sera assortie des voies de recours ordinaires. Le cas échéant, l'assurée aura le loisir d'utiliser celles-ci si elle entend contester la nécessité d'une expertise, mesure qu'elle avait cependant acceptée en instance cantonale puisqu'elle a conclu à ce que la Cour de justice mette en oeuvre une expertise pluridisciplinaire (écriture de recours du 27 janvier 2014 et détermination du 24 mars 2014).</w:t>
      </w:r>
    </w:p>
    <w:p>
      <w:r>
        <w:rPr>
          <w:b/>
        </w:rPr>
        <w:t>E. 4.1</w:t>
      </w:r>
    </w:p>
    <w:p>
      <w:r>
        <w:t>Compte tenu du présent arrêt, la requête d'attribution de l'effet suspensif présentée par le recourant est sans objet.</w:t>
      </w:r>
    </w:p>
    <w:p>
      <w:r>
        <w:rPr>
          <w:b/>
        </w:rPr>
        <w:t>E. 4.2</w:t>
      </w:r>
    </w:p>
    <w:p>
      <w:r>
        <w:t>Étant donné les circonstances, il convient de statuer sans frais (art. 66 al. 1, deuxième phrase, LTF). Vu l'issue de la procédure, l'intimée ne saurait prétendre une indemnités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