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632/2014 vom 20. Januar 2015</w:t>
      </w:r>
    </w:p>
    <w:p>
      <w:r>
        <w:t>Bundesgericht, 2015-01-20, FR</w:t>
      </w:r>
    </w:p>
    <w:p>
      <w:r>
        <w:rPr>
          <w:b/>
        </w:rPr>
        <w:t xml:space="preserve">Quelle: </w:t>
      </w:r>
      <w:r>
        <w:t>https://mcp.opencaselaw.ch/entscheid/bger_9C_632_2014</w:t>
      </w:r>
    </w:p>
    <w:p>
      <w:r>
        <w:t>FR: TF 9C 632/2014 du 20 janvier 2015</w:t>
      </w:r>
    </w:p>
    <w:p>
      <w:r>
        <w:t>IT: TF 9C 632/2014 del 20 gennaio 2015</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Appliquant la méthode mixte d'évaluation de l'invalidité, la juridiction cantonale a considéré que le degré d'invalidité global présenté par la recourante ne donnait pas droit à une rente d'invalidité. En effet, si l'intimée avait été en bonne santé, elle aurait consacré 70 % de son temps à l'exercice de son activité professionnelle et le reste à l'accomplissement de ses travaux habituels. Sur le plan médical, la capacité résiduelle de travail de l'intimée était de 50 %, ce qui donnait, après comparaison des revenus, un degré d'invalidité pour la part consacrée à l'activité lucrative de 29 %. Compte tenu également d'une entrave de 44 % dans l'accomplissement des travaux habituels, on parvenait à un taux d'invalidité global de 34 % ([0,7 x 29 %] + [0,3 x 44 %]).</w:t>
      </w:r>
    </w:p>
    <w:p>
      <w:r>
        <w:rPr>
          <w:b/>
        </w:rPr>
        <w:t>E. 3</w:t>
      </w:r>
    </w:p>
    <w:p>
      <w:r>
        <w:t>Dans un premier grief, la recourante conteste la répartition des champs d'activité retenue par la juridiction cantonale.</w:t>
      </w:r>
    </w:p>
    <w:p>
      <w:r>
        <w:rPr>
          <w:b/>
        </w:rPr>
        <w:t>E. 3.1</w:t>
      </w:r>
    </w:p>
    <w:p>
      <w:r>
        <w:t>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137 V 334 consid. 3.2 p. 338 et les références).</w:t>
      </w:r>
    </w:p>
    <w:p>
      <w:r>
        <w:rPr>
          <w:b/>
        </w:rPr>
        <w:t>E. 3.2</w:t>
      </w:r>
    </w:p>
    <w:p>
      <w:r>
        <w:t>La juridiction cantonale a jugé qu'il n'y avait pas lieu de s'écarter de la répartition des tâches retenue par l'office intimé, selon laquelle la recourante aurait exercé, à la date déterminante de la décision litigieuse, une activité lucrative à raison de 70 %, et aurait consacré le reste de son temps à ses travaux habituels. En effet, il était constant qu'elle avait réduit son taux d'activité à 70 % à la suite de la naissance de son fils, soit avant que ne se manifestassent ses problèmes de santé. Tout au long de l'instruction, elle avait affirmé qu'en bonne santé, elle aurait continué à travailler à 70 % pour des raisons familiales. Ce n'était qu'après que le projet de décision eut été rendu qu'elle avait allégué pour la première fois qu'elle aurait travaillé à plein temps, d'abord sans nuance, puis en précisant que cela aurait été à compter du 1er septembre 2011 (sans toutefois avancer la moindre explication quant aux motifs qui auraient présidé à un changement à ce moment-là). Au vu de l'ensemble de ces éléments, la juridiction cantonale a considéré qu'il n'avait pas été établi au degré de la vraisemblance prépondérante requis que la recourante aurait, si son état de santé le lui avait permis, augmenté son taux d'occupation à 100 % à compter du mois de septembre 2011.</w:t>
      </w:r>
    </w:p>
    <w:p>
      <w:r>
        <w:rPr>
          <w:b/>
        </w:rPr>
        <w:t>E. 3.3</w:t>
      </w:r>
    </w:p>
    <w:p>
      <w:r>
        <w:t>En l'occurrence, la recourante ne parvient pas à démontrer le caractère manifestement insoutenable des faits établis par la juridiction cantonale. Comme cela a été souligné, ceux-ci reposent sur des éléments objectifs qui ressortent du dossier, en particulier sur les constatations contenues dans l'enquête économique sur le ménage. La simple allégation, faite qui plus est a posteriori , selon laquelle elle avait prévu de reprendre son travail à 100 % une fois que son enfant aurait atteint l'âge de trois ans, soit dès la rentrée de septembre 2011, ne saurait, à défaut d'un étayage plus important, suffire pour remettre en cause l'appréciation de la juridiction cantonale ou, à tout le moins, pour justifier la mise en oeuvre de mesures d'instruction complémentaires. Il appartenait à la recourante d'alléguer l'ensemble des faits et moyens de preuves nécessaires à établir la date d'une reprise d'activité à 100 %. Ayant manqué à son devoir d'allégation, elle doit en supporter les conséquences, étant précisé que la maxime inquisitoire ne saurait exiger de l'autorité saisie qu'elle examine d'office toutes les hypothèses envisageables ou qu'elle interpelle la partie recourante pour qu'elle complète son recours sur un point précis (cf. ATF 140 V 399 consid. 5.5 p. 405 s.).</w:t>
      </w:r>
    </w:p>
    <w:p>
      <w:r>
        <w:rPr>
          <w:b/>
        </w:rPr>
        <w:t>E. 4</w:t>
      </w:r>
    </w:p>
    <w:p>
      <w:r>
        <w:t>Dans un second grief, la recourante reproche à la juridiction cantonale de n'avoir pas instruit, respectivement tenu compte de l'influence des efforts consentis dans l'autre domaine d'activité à titre de réduction supplémentaire de la capacité d'exercer une activité lucrative ou d'accomplir les travaux habituels (effets réciproques).</w:t>
      </w:r>
    </w:p>
    <w:p>
      <w:r>
        <w:rPr>
          <w:b/>
        </w:rPr>
        <w:t>E. 4.1.1</w:t>
      </w:r>
    </w:p>
    <w:p>
      <w:r>
        <w:t>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p. 99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 ATF 134 V 9 consid. 7.3.1 p. 12).</w:t>
      </w:r>
    </w:p>
    <w:p>
      <w:r>
        <w:rPr>
          <w:b/>
        </w:rPr>
        <w:t>E. 4.1.2</w:t>
      </w:r>
    </w:p>
    <w:p>
      <w:r>
        <w:t>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 ATF 134 V 9 consid. 7.3.2 à 7.3.7 p. 13 s.).</w:t>
      </w:r>
    </w:p>
    <w:p>
      <w:r>
        <w:rPr>
          <w:b/>
        </w:rPr>
        <w:t>E. 4.2</w:t>
      </w:r>
    </w:p>
    <w:p>
      <w:r>
        <w:t>Au regard des éléments évoqués par la recourante à l'appui de son recours, il ne se justifie pas en l'espèce de renvoyer la cause pour que soit instruite la question des effets réciproques. Ainsi que l'a relevé la juridiction cantonale, il apparaît que l'exercice d'une activité - essentiellement intellectuelle - de gestionnaire de fortune est complémentaire de l'accomplissement des tâches - plutôt physiques - liées à la conduite d'un ménage. Sur le plan médical, rien ne permet de penser - la recourante ne met en évidence aucun élément objectif allant dans le sens de l'hypothèse qu'elle soutient - que l'exercice d'une activité lucrative à mi-temps conduirait, malgré les douleurs et la fatigue qu'il engendre, à une diminution plus importante de la capacité de la recourante à accomplir ses travaux habituels qui justifierait de procéder à un abattement supplémentaire. En retenant un empêchement global de 44 % dans l'accomplissement des travaux habituels, l'enquête économique sur le ménage réalisée dans le cadre de la procédure de révision tient d'ailleurs largement compte de l'ensemble des limitations physiques touchant la recourante, au regard notamment du temps dont elle dispose pour répartir les différentes tâches qu'elle doit assumer au titre de ses travaux habituels.</w:t>
      </w:r>
    </w:p>
    <w:p>
      <w:r>
        <w:rPr>
          <w:b/>
        </w:rPr>
        <w:t>E. 5</w:t>
      </w:r>
    </w:p>
    <w:p>
      <w:r>
        <w:t>Mal fondé, le recours doit être rejeté. La recourante, qui succombe, supportera les frais judiciaires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