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9C_631/2020 vom 22. Februar 2021</w:t>
      </w:r>
    </w:p>
    <w:p>
      <w:r>
        <w:t>Bundesgericht, 2021-02-22, DE</w:t>
      </w:r>
    </w:p>
    <w:p>
      <w:r>
        <w:rPr>
          <w:b/>
        </w:rPr>
        <w:t xml:space="preserve">Quelle: </w:t>
      </w:r>
      <w:r>
        <w:t>https://mcp.opencaselaw.ch/entscheid/bger_9C_631_2020</w:t>
      </w:r>
    </w:p>
    <w:p>
      <w:r>
        <w:t>FR: TF 9C_631/2020 du 22 février 2021</w:t>
      </w:r>
    </w:p>
    <w:p>
      <w:r>
        <w:t>IT: TF 9C_631/2020 del 22 febbraio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Im angefochtenen Entscheid wurden die rechtlichen Grundlagen für das Eintreten auf eine Neuanmeldung, insbesondere unter dem Aspekt des Glaubhaftmachens (Art. 87 Abs. 3 i.V.m. Abs. 2 IVV [SR 831.201]; BGE 133 V 108 E. 5 S. 110 ff.; 130 V 71 ; 130 V 64 E. 5.2.5 S. 68 f.; Urteile 8C_389/2018 vom 8. Januar 2019 E. 4.2; 8C_65/2018 vom 14. Februar 2018 E. 4.1; 9C_116/2010 vom 20. April 2010 E. 2.2), zutreffend dargelegt. Darauf wird verwiesen.</w:t>
      </w:r>
    </w:p>
    <w:p>
      <w:r>
        <w:rPr>
          <w:b/>
        </w:rPr>
        <w:t>E. 3.1</w:t>
      </w:r>
    </w:p>
    <w:p>
      <w:r>
        <w:t>Das kantonale Gericht hat erwogen, die IV-Stelle habe dem Versicherten mit dem Vorbescheid vom 23. Juli 2019 das Nichteintreten auf seine Neuanmeldung angedroht. Am 12. September 2019 habe sie ihm, entsprechend seinem Gesuch, zur Einreichung weiterer medizinischer Unterlagen eine Frist bis zum 16. Oktober 2019 angesetzt, die sie von sich aus am 22. Oktober 2019 bis zum 10. November 2019 erstreckt habe. Der Beschwerdeführer habe bis zum Erlass der Nichteintretensverfügung vom 13. Dezember 2019 keine Unterlagen nachgereicht. Die Dokumente, die er erst am 16. Dezember 2019 der IV-Stelle resp. im kantonalen Beschwerdeverfahren eingereicht habe, seien verspätet eingegangen und deshalb nicht zu berücksichtigen. Aus den (mit der Neuanmeldung eingereichten) Berichten der medizinischen Zentren B.________ und C.________ vom 30. Oktober und 26. November 2018 ergebe sich kein verschlechterter Gesundheitszustand des Beschwerdeführers. Damit habe er keine wesentliche Veränderung des Sachverhalts glaubhaft dargetan. Dementsprechend sei die IV-Stelle zu Recht nicht auf die Neuanmeldung eingetreten.</w:t>
      </w:r>
    </w:p>
    <w:p>
      <w:r>
        <w:rPr>
          <w:b/>
        </w:rPr>
        <w:t>E. 3.2</w:t>
      </w:r>
    </w:p>
    <w:p>
      <w:r>
        <w:t>Was der Beschwerdeführer dagegen vorbringt, hält nicht stand. Bereits im Vorbescheid drohte die IV-Stelle dem Versicherten unter Hinweis auf die Aktenlage das Nichteintreten auf die Neuanmeldung an. Weshalb sie ihn in den Schreiben vom 12. September und 22. Oktober 2019 erneut auf die Möglichkeit des Nichteintretens hätte hinweisen müssen, leuchtet nicht ein; solches ergibt sich auch nicht aus der vom Beschwerdeführer angerufenen Rechtsprechung von BGE 130 V 64 E. 5.2.5 S. 69. Sodann ist für die Eintretensfrage nicht von Belang, ob ein erst nach Verfügungserlass erstellter Bericht Rückschlüsse auf den davor liegenden Zeitraum zulässt. Es obliegt der versicherten Person, mit der Neuanmeldung resp. bis zur Beendigung des Neuanmeldeverfahrens durch die Verwaltung (hier: Erlass der Nichteintretensverfügung) die massgebliche Tatsachenänderung glaubhaft zu machen; auch spielt der Untersuchungsgrundsatz insoweit nicht ( BGE 130 V 64 E. 5.2.5 S. 68 f.). Schliesslich legte das kantonale Gericht nachvollziehbar dar, weshalb es davon ausging, dass die in den Berichten der medizinischen Zentren B.________ und C.________ vom 30. Oktober und 26. November 2018 genannten Beschwerden bereits bei Erstellung des SMAB-Gutachtens vorhanden gewesen und berücksichtigt worden seien. Den entsprechenden Feststellungen setzt der Beschwerdeführer lediglich seine abweichende Beweiswürdigung entgegen; darauf ist nicht weiter einzugehen (vgl. vorangehende E. 1). Von "bundesrechtswidriger Anwendung" des Beweismasses des Glaubhaftmachens kann demnach nicht gesprochen werden.</w:t>
      </w:r>
    </w:p>
    <w:p>
      <w:r>
        <w:rPr>
          <w:b/>
        </w:rPr>
        <w:t>E. 3.3</w:t>
      </w:r>
    </w:p>
    <w:p>
      <w:r>
        <w:t>Die Beschwerde ist offensichtlich unbegründet, weshalb sie im vereinfachten Verfahren nach Art. 109 Abs. 2 lit. a und Abs. 3 BGG mit summarischer Begründung und unter Hinweis auf den kantonalen Gerichtsentscheid erledigt wird.</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