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9C_631/2019 vom 19. Juni 2020</w:t>
      </w:r>
    </w:p>
    <w:p>
      <w:r>
        <w:t>Bundesgericht, 2020-06-19, DE</w:t>
      </w:r>
    </w:p>
    <w:p>
      <w:r>
        <w:rPr>
          <w:b/>
        </w:rPr>
        <w:t xml:space="preserve">Quelle: </w:t>
      </w:r>
      <w:r>
        <w:t>https://mcp.opencaselaw.ch/entscheid/bger_9C_631_2019</w:t>
      </w:r>
    </w:p>
    <w:p>
      <w:r>
        <w:t>FR: TF 9C_631/2019 du 19 juin 2020</w:t>
      </w:r>
    </w:p>
    <w:p>
      <w:r>
        <w:t>IT: TF 9C_631/2019 del 19 giugno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ob die mit Abbruch der Schule B.________ Ende September 2017 begonnene Prüfungsvorbereitung als Ausbildung anzusehen ist, womit (auch) vom 1. Oktober 2017 bis 31. Juli 2018 Anspruch auf eine Kinderrente bestünde.</w:t>
      </w:r>
    </w:p>
    <w:p>
      <w:r>
        <w:rPr>
          <w:b/>
        </w:rPr>
        <w:t>E. 2.1</w:t>
      </w:r>
    </w:p>
    <w:p>
      <w:r>
        <w:t>Der Begriff der Ausbildung ist umfassend und weit zu verstehen ( BGE 143 V 305 E. 3.3 S. 309 mit weiteren Hinweisen). Nach Art. 25 Abs. 5 Satz 2 AHVG und Art. 49bis und 49ter AHVV fallen darunter ordentliche Lehrverhältnisse sowie Tätigkeiten zum Erwerb von Vorkenntnissen für ein Lehrverhältnis, aber auch Kurs- und Schulbesuche, wenn sie der berufsbezogenen Vorbereitung auf eine Ausbildung oder späteren Berufsausübung dienen. Bei Kurs- und Schulbesuchen sind die Art der Lehranstalt und das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 BGE 140 V 314 E. 3.2 S. 316).</w:t>
      </w:r>
    </w:p>
    <w:p>
      <w:r>
        <w:rPr>
          <w:b/>
        </w:rPr>
        <w:t>E. 2.2</w:t>
      </w:r>
    </w:p>
    <w:p>
      <w:r>
        <w:t>Rz. 3359 und 3360 der Wegleitung des Bundesamtes für Sozialversicherungen über die Renten in der Eidgenössischen Alters-, Hinterlassenen- und Invalidenversicherung (Stand: 1. Januar 2019 [identisch mit den Formulierungen der ab 1. Januar 2017 gültigen Fassungen]; nachfolgend: RWL) bestimmen dazu was folgt:</w:t>
      </w:r>
    </w:p>
    <w:p>
      <w:r>
        <w:t>"Die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w:t>
      </w:r>
    </w:p>
    <w:p>
      <w:r>
        <w:t>"Der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Beispiel: Eine bei der Abschlussprüfung gescheiterte Lehrabgängerin, die im anschliessenden Jahr lediglich ein paar wenige Repetitionskurse belegt, befindet sich nicht mehr in Ausbildung, wenn es ihr nicht gelingt, einen überwiegenden Ausbildungsaufwand nachzuweisen."</w:t>
      </w:r>
    </w:p>
    <w:p>
      <w:r>
        <w:rPr>
          <w:b/>
        </w:rPr>
        <w:t>E. 2.3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ohne - hier nicht vorliegenden - triftigen Grund nicht von Verwaltungsweisungen ab, wenn diese eine überzeugende Konkretisierung der rechtlichen Vorgaben darstellen ( BGE 140 V 299 E. 3 S. 303 mit Hinweis).</w:t>
      </w:r>
    </w:p>
    <w:p>
      <w:r>
        <w:rPr>
          <w:b/>
        </w:rPr>
        <w:t>E. 3</w:t>
      </w:r>
    </w:p>
    <w:p>
      <w:r>
        <w:t>Die Vorinstanz hat erwogen, der Besuch des Förderprogramms der Schule C.________ und der dort angebotenen Fächer im Bereich Klassik erfüllten das Ausbildungserfordernis nach Art. 49bis Abs. 1 AHVV nicht. B.A.________ habe die Schule B.________ abgebrochen, welche grundsätzlich Voraussetzung für ein Studium an der Schule C.________ bilde. Damit habe er nicht den ordentlichen Ausbildungsweg beschritten, sondern seine Chancen auf eine professionelle Karriere als Musiker vermindert. Da lediglich einzelne Fächer des Pre-Colleges zwecks Abdeckung des bestehenden Nachholbedarfs absolviert worden seien, könne ausserdem von keinem systematischen Lehrgang gesprochen werden. Die individuell zusammengestellten Kurse seien vielmehr eine Zwischenlösung gewesen, um die zehnmonatige Pause bis zum Beginn des Pre-Colleges im August 2018 zu überbrücken. Für solche weder ordnungsgemässen noch systematisch auf ein Berufsziel vorbereitenden Zwischenlösungen gelange Art. 49bis Abs. 2 AHVV nicht zur Anwendung. Der Ausbildungsbestätigung vom 15. August 2018 sei überdies ein Schulanteil von bloss fünfeinhalb Stunden zu entnehmen, was unter dem für Brückenangebote geforderten Minimum von acht Schulstunden liege (vgl. Rz. 3363 RWL).</w:t>
      </w:r>
    </w:p>
    <w:p>
      <w:r>
        <w:rPr>
          <w:b/>
        </w:rPr>
        <w:t>E. 4.1</w:t>
      </w:r>
    </w:p>
    <w:p>
      <w:r>
        <w:t>In tatsächlicher Hinsicht steht mit Blick auf die Ausbildungsbestätigung der Schule C.________ vom 15. August 2018 - auf welche das kantonale Gericht abgestellt hat - fest, dass B.A.________ nach dem Abbruch der Schule B.________ Ende September 2017 folgendes Programm in Angriff nahm: Besuch des Hauptfachs Violine (anderthalb Stunden wöchentlich), des Vorkurses Klassik (vier Stunden wöchentlich) sowie weiterer individueller Kurse; obligatorische Proben mit dem Sinfonie-Orchester, dem Kammermusik-Trio (ca. eine Stunde wöchentlich) und dem Orchester D.________ (zwei Stunden wöchentlich); diverse Konzertauftritte und Auftrittsproben; Üben im Selbststudium (vier bis sechs Stunden täglich).</w:t>
      </w:r>
    </w:p>
    <w:p>
      <w:r>
        <w:rPr>
          <w:b/>
        </w:rPr>
        <w:t>E. 4.2</w:t>
      </w:r>
    </w:p>
    <w:p>
      <w:r>
        <w:t>Bereits daraus ergibt sich ohne Weiteres, dass der Sohn des Beschwerdeführers sein Berufsziel als professioneller Violinist mit der erforderlichen Systematik verfolgte. Zwischen diesem und dem Vorbereitungsprogramm bestand ohne Frage ein Zusammenhang. Zudem wurde der objektiv zumutbare Einsatz geleistet (vgl. E. 2.1 und 2.2). Der Ausbildungsbestätigung vom 15. August 2018 ist denn auch explizit zu entnehmen, B.A.________ habe sich nach dem Verlassen der Schule B.________ "intensiv" auf die Aufnahme in das Pre-College der Schule C.________ 2018/19 vorbereitet und die Prüfung schliesslich erfolgreich bestanden. Sodann ist der gemäss Rz. 3359 RWL erforderliche effektive Ausbildungsaufwand von mindestens zwanzig Wochenstunden nur schon anhand der in der Ausbildungsbestätigung ausgewiesenen Übungszeit (vier bis sechs Stunden täglich à fünf Tagen) belegt. Abgesehen davon lässt das umfangreiche Vorbereitungsprogramm an sich den Schluss zu, dass sich B.A.________ - abgesehen von notwendigen Erholungsphasen - in den fraglichen rund zehn Monaten nicht nur "zeitlich überwiegend" (vgl. E. 2.2), sondern</w:t>
      </w:r>
    </w:p>
    <w:p>
      <w:r>
        <w:t>einzig und allein dem Ausbildungsziel widmete. Ob der zweiten Ausbildungsbestätigung der Prorektorin der Schule C.________ vom 26. September 2018 Bedeutung zukommt, was das kantonale Gericht verneint hat, kann dergestalt offen bleiben.</w:t>
      </w:r>
    </w:p>
    <w:p>
      <w:r>
        <w:rPr>
          <w:b/>
        </w:rPr>
        <w:t>E. 4.3</w:t>
      </w:r>
    </w:p>
    <w:p>
      <w:r>
        <w:t>Dass der Unterrichtsplan spezifisch für B.A.________ entworfen und in dieser Form nicht für jedermann öffentlich zugänglich war, vermag am Ausbildungscharakter nichts zu ändern. Denn entscheidend für die Qualifikation als Ausbildung sind die von Anfang an mit aller Konsequenz verfolgte Absicht, Berufsmusiker zu werden (vgl. Urteil 8C_177/2015 vom 14. Oktober 2015 E. 5.1.2), sowie der Umstand, dass die Prüfungsvorbereitung mit dem Violinlehrer und der Prorektorin der Schule C.________ abgesprochen und geplant war (vgl. E-Mail des Beschwerdeführers vom 26. September 2017). Durch diese fachliche Begleitung ist den Anforderungen bezüglich Lerninhalt, Lernkontrolle und Zielerreichung Genüge getan (vgl. Urteil 8C_404/2015 vom 22. Dezember 2015 E. 4.3.1). Damit kann nicht ernsthaft in Abrede gestellt werden, dass es als konsequentes und sinnvolles Ziel anzusehen ist, sämtliche Ressourcen für das Erreichen des Pre-Colleges einzusetzen, das die Voraussetzung für die spätere Berufstätigkeit als Musiker bildet. Mithin bestand nach willkürfreier (E. 1) Sachverhaltsfeststellung des kantonalen Gerichts im Zeitpunkt des Abbruchs der Schule B.________ ein starker Nachholbedarf im musikalischen Bereich. Dieser hätte bei Weiterführung der Doppelbelastung mit überwiegender Wahrscheinlichkeit nicht kompensiert werden können, hielt doch der zuständige Lehrgangsleiter zu Handen des Beschwerdeführers fest, man habe den grossen Druck, der auf B.A.________ gelastet habe, aus schulischer Sicht mit Sorge verfolgt (E-Mail vom 27. September 2017). Die vertiefte Beschäftigung mit den am Pre-College geprüften Fächern war demnach für eine sorgfältige Prüfungsvorbereitung mit nachweislich guten Erfolgsaussichten - faktisch - geboten (betreffend Praktika vgl. BGE 139 V 209 E. 5.1 S. 210 f. mit Hinweis auf BGE 139 V 122 ). Ein Brückenangebot oder eine andere unter Art. 49bis Abs. 2 AHVV fallende Ausbildungsvariante liegt, wie die Vorinstanz selber eingeräumt hat (E. 3), nicht vor. Weiterungen dazu erübrigen sich.</w:t>
      </w:r>
    </w:p>
    <w:p>
      <w:r>
        <w:rPr>
          <w:b/>
        </w:rPr>
        <w:t>E. 5</w:t>
      </w:r>
    </w:p>
    <w:p>
      <w:r>
        <w:t>Nach dem Gesagten verletzt der angefochtene Entscheid Bundesrecht. Die Beschwerde ist begründet.</w:t>
      </w:r>
    </w:p>
    <w:p>
      <w:r>
        <w:rPr>
          <w:b/>
        </w:rPr>
        <w:t>E. 6</w:t>
      </w:r>
    </w:p>
    <w:p>
      <w:r>
        <w:t>Dem Verfahrensausgang entsprechend sind die Gerichtskosten der unterliegenden Beschwerdegegnerin aufzuerlegen ( Art. 66 Abs. 1 BGG ). Der obsiegende Beschwerdeführer hat keinen Anspruch auf Parteientschädigung ( Art. 68 Abs. 2 BGG ), da er nicht anwaltlich vertreten ist und keine besonderen Verhältnisse vorliegen, die eine Entschädigung für weitere Umtriebe rechtfertigen (Urteil 9C_103/2016 vom 23. August 2016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