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631/2012 vom 9. November 2012</w:t>
      </w:r>
    </w:p>
    <w:p>
      <w:r>
        <w:t>Bundesgericht, 2012-11-09, FR</w:t>
      </w:r>
    </w:p>
    <w:p>
      <w:r>
        <w:rPr>
          <w:b/>
        </w:rPr>
        <w:t xml:space="preserve">Quelle: </w:t>
      </w:r>
      <w:r>
        <w:t>https://mcp.opencaselaw.ch/entscheid/bger_9C_631_2012</w:t>
      </w:r>
    </w:p>
    <w:p>
      <w:r>
        <w:t>FR: TF 9C 631/2012 du 9 novembre 2012</w:t>
      </w:r>
    </w:p>
    <w:p>
      <w:r>
        <w:t>IT: TF 9C 631/2012 del 9 novembre 2012</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jugement entrepris expose correctement les dispositions légales et les principes jurisprudentiels applicables en matière de révision de la rente d'invalidité ( art. 17 LPGA ), de sorte qu'il suffit d'y renvoyer.</w:t>
      </w:r>
    </w:p>
    <w:p>
      <w:r>
        <w:rPr>
          <w:b/>
        </w:rPr>
        <w:t>E. 2</w:t>
      </w:r>
    </w:p>
    <w:p>
      <w:r>
        <w:t>Se fondant sur l'expertise de la doctoresse V.________, qui remplissait toutes les exigences formelles auxquelles la jurisprudence soumet la valeur probante d'un tel document et dont les conclusions n'étaient pas remises en cause par les points de vue défendus par d'autres médecins, la juridiction cantonale a constaté que l'état de santé psychique de la recourante avait subi une amélioration notable, puisqu'elle ne présentait plus, au moment de la décision litigieuse, de trouble psychique ayant des répercussions négatives sur sa capacité de travail. C'est par conséquent à juste titre que l'office AI avait retenu que les conditions étaient réunies pour supprimer, par la voie de la révision, le droit de la recourante à une rente entière d'invalidité.</w:t>
      </w:r>
    </w:p>
    <w:p>
      <w:r>
        <w:rPr>
          <w:b/>
        </w:rPr>
        <w:t>E. 3</w:t>
      </w:r>
    </w:p>
    <w:p>
      <w:r>
        <w:t>La recourante reproche à la juridiction cantonale d'avoir procédé à une constatation manifestement inexacte des faits pertinents consécutive à une mauvaise appréciation des preuves. Compte tenu de son pouvoir d'examen restreint, il n'appartient toutefois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précise les raisons pour lesquelles elle considérait que l'expertise de la doctoresse V.________ permettait de conclure à l'existence d'une modification sensible de l'état de santé psychique de la recourante. Une évaluation médicale complète telle que l'expertise susmentionnée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 l'appui de ses griefs, la recourante se contente de renvoyer aux brefs rapports établis par les docteurs H.________ et M.________ antérieurement à l'expertise de la doctoresse V.________. Hormis la divergence d'opinion quant au diagnostic, elle ne cherche pas véritablement à démontrer, par une argumentation précise et étayée, l'existence de contradictions manifestes ou d'éléments cliniques ou diagnostiques ignorés, et encore moins à expliquer en quoi le point de vue de ses médecins traitants serait objectivement mieux fondé que celui de l'experte ou justifierait la mise en oeuvre d'une mesure d'instruction complémentaire. A cet égard, il y a lieu d'écarter, faute de griefs suffisamment motivés, les critiques portant sur la valeur probante de l'expertise, respectivement sur la méthodologie utilisée par l'experte. On précisera néanmoins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arrêts 9C_661/2009 du 29 septembre 2009 consid. 3.2 et 9C_447/2009 du 15 juillet 2009). En l'occurrence, on ne saurait reprocher à la doctoresse V.________, en l'absence de tout symptôme dépressif, d'avoir renoncé à procéder à des tests psychométriques. S'agissant par ailleurs de la symptomatologie douloureuse sous-jacente présentée par la recourante (décrite tantôt comme un syndrome somatoforme douloureux tantôt comme une fibromyalgie), elle n'est à l'évidence pas de nature, eu égard aux critères fixés par la jurisprudence pour apprécier le caractère invalidant d'un syndrome douloureux (cf. ATF 130 V 352 consid. 2.2.3 p. 354 et 131 V 49 consid. 1.2 p. 50), à influer sur la capacité de travail de la recourante, celle-ci n'étant que très peu limitée dans l'accomplissement de ses tâches quotidiennes et ne présentant, d'après la description rapportée par la doctoresse V.________, aucun retrait social évident et objectif.</w:t>
      </w:r>
    </w:p>
    <w:p>
      <w:r>
        <w:rPr>
          <w:b/>
        </w:rPr>
        <w:t>E. 4</w:t>
      </w:r>
    </w:p>
    <w:p>
      <w:r>
        <w:t>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