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62/2011 vom 16. August 2011</w:t>
      </w:r>
    </w:p>
    <w:p>
      <w:r>
        <w:t>Bundesgericht, 2011-08-16, FR</w:t>
      </w:r>
    </w:p>
    <w:p>
      <w:r>
        <w:rPr>
          <w:b/>
        </w:rPr>
        <w:t xml:space="preserve">Quelle: </w:t>
      </w:r>
      <w:r>
        <w:t>https://mcp.opencaselaw.ch/entscheid/bger_9C_62_2011</w:t>
      </w:r>
    </w:p>
    <w:p>
      <w:r>
        <w:t>FR: TF 9C 62/2011 du 16 août 2011</w:t>
      </w:r>
    </w:p>
    <w:p>
      <w:r>
        <w:t>IT: TF 9C 62/2011 del 16 agosto 2011</w:t>
      </w:r>
    </w:p>
    <w:p>
      <w:pPr>
        <w:pStyle w:val="Heading2"/>
      </w:pPr>
      <w:r>
        <w:t>Regeste</w:t>
      </w:r>
    </w:p>
    <w:p>
      <w:r>
        <w:t>Assurance-invalidité | Assurance-invalidité</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octroyé à l'intimée le droit à une demi-rente de l'assurance-invalidité dès le 1er juin 2001, puis trois quarts de rente. Sur ce point, le jugement attaqué contient une instruction impérative destinée à l'autorité inférieure qui ne lui laisse plus aucune latitude de jugement pour la suite de la procédure. En cela, l'OAI subit un préjudice irréparable au sens de l' art. 93 al. 1 let. a LTF , si bien qu'il y a lieu d'entrer en matière sur son recours (cf. ATF 133 V 477 consid. 5.2 p. 483).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Est litigieux le droit de l'intimée à une rente de l'assurance-invalidité depuis 2001. Il est constant qu'entre juin 2001 et fin octobre 2002, elle a eu un statut mixte et que, dès mai 2008, son état de santé s'est aggravé. Sont en revanche contestés son statut dès novembre 2002 (mixte ou de personne active), et, le cas échéant, la répartition entre les champs d'activité, ainsi que le degré d'invalidité dans la sphère ménagère.</w:t>
      </w:r>
    </w:p>
    <w:p>
      <w:r>
        <w:rPr>
          <w:b/>
        </w:rPr>
        <w:t>E. 4</w:t>
      </w:r>
    </w:p>
    <w:p>
      <w:r>
        <w:t>Le statut de l'intimée à partir de novembre 2002 dépend de la question de savoir si celle-ci aurait, à ce moment-là, repris une activité professionnelle à temps plein si son état de santé le lui avait permis. Dans l'affirmative, elle doit être considérée comme une personne active.</w:t>
      </w:r>
    </w:p>
    <w:p>
      <w:r>
        <w:rPr>
          <w:b/>
        </w:rPr>
        <w:t>E. 4.1</w:t>
      </w:r>
    </w:p>
    <w:p>
      <w:r>
        <w:t>La réponse à la question de savoir à quel taux d'activité la personne assurée travaillerait sans atteinte à la santé dépend de l'ensemble des circonstances personnelles, familiales, sociales, financières et professionnelles (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(arrêts 9C_399/2008 du 5 mai 2009 consid. 4.1; 9C_667/2007 du 12 juin 2008 consid. 3.1; 9C_428/2007 du 20 novembre 2007 consid. 4.1; I 693/06 du 20 décembre 2006 consid. 4.1). 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al.1 et art. 105 al.1 et 2 LTF ; ATF 133 V 504 consid. 3.2 p. 507; arrêts 9C_301/2007 du 28 septembre 2007 consid. 3.1 et I 693/06 du 20 décembre 2006 consid. 4.1 ; cf. aussi ATF 132 V 393 consid. 3.3 p. 399). La violation du droit peut consister en un état de fait incomplet, car l'autorité précédente viole le droit matériel en n'établissant pas tous les faits pertinents pour l'application de celui-ci (Alain Wurzburger, Présentation générale et système du recours, in : La nouvelle loi sur le Tribunal fédéral, Lausanne 2007, p. 20 s.).</w:t>
      </w:r>
    </w:p>
    <w:p>
      <w:r>
        <w:rPr>
          <w:b/>
        </w:rPr>
        <w:t>E. 4.2</w:t>
      </w:r>
    </w:p>
    <w:p>
      <w:r>
        <w:t>La juridiction cantonale a retenu que l'intimée aurait travaillé à plein temps depuis novembre 2002. Elle a considéré que des raisons financières l'auraient amenée à reprendre une activité à plein temps rapidement après la naissance de son deuxième enfant en novembre 2001. Ses déclarations, ainsi que celles de tous les témoins entendus - dont rien ne permettait de remettre en cause la bonne foi - allaient en ce sens, tout comme le fait que, après la naissance de son premier enfant, elle avait augmenté son activité professionnelle. A cela s'ajoutait que l'intimée était encore jeune à l'époque. Contrairement à ce que prétendait le recourant, aucune pièce du dossier ne permettait d'affirmer que, lorsque l'intimée s'était inscrite au chômage en septembre 2002, elle aurait indiqué être en recherche d'un emploi à 80 %; en tout état de cause, cela ne serait pas déterminant, compte tenu que, à ce moment-là, elle était déjà atteinte dans sa santé. Il n'y avait pas non plus lieu de considérer, de manière générale, qu'une mère de deux enfants ne travaillerait pas à plein temps.</w:t>
      </w:r>
    </w:p>
    <w:p>
      <w:r>
        <w:rPr>
          <w:b/>
        </w:rPr>
        <w:t>E. 4.3</w:t>
      </w:r>
    </w:p>
    <w:p>
      <w:r>
        <w:t>Selon le recourant les premiers juges auraient établi les faits de manière incomplète. Ils auraient en effet ignoré plusieurs éléments du dossier dont il ressortirait que l'intimée n'aurait pas repris une activité professionnelle à plein temps un an après la naissance de son deuxième enfant. Au terme de sa première grossesse, celle-ci avait attendu trois ans, et non une année, avant d'augmenter son temps de travail. En outre, après la naissance d'un deuxième enfant, le taux d'activité serait généralement plutôt revu à la baisse qu'à la hausse. Au surplus, l'augmentation de loyer engendrée par la nécessité, pour l'intimée et sa famille, de disposer désormais d'un logement plus grand, ne pourrait à elle seule justifier une augmentation du taux d'activité. Cela vaudrait d'autant plus que la hausse de loyer subie par le couple ne serait en réalité pas de 500 fr. comme l'ont affirmé les premiers juges, mais de l'ordre de 330 fr. seulement, compte tenu d'une allocation mensuelle de logement. A cela s'ajouterait que le jugement entrepris ne tiendrait aucun compte de la nécessité de besoins éducatifs et de l'importance de la présence de leur mère pour de jeunes enfants. Enfin, aucun des témoins entendus n'aurait été en mesure de dire à quel moment précis l'intimée aurait repris une activité à plein temps.</w:t>
      </w:r>
    </w:p>
    <w:p>
      <w:r>
        <w:rPr>
          <w:b/>
        </w:rPr>
        <w:t>E. 4.4</w:t>
      </w:r>
    </w:p>
    <w:p>
      <w:r>
        <w:t>La juridiction cantonale, en retenant au degré de la vraisemblance prépondérante que l'intimée aurait commencé à exercer une activité à temps complet un an après la naissance de son deuxième enfant, n'a ni apprécié les faits de manière manifestement inexacte, ni commis une violation du droit matériel. Cette naissance a engendré des charges financières - ne se limitant pas à un loyer plus élevé - qui, compte tenu des revenus relativement modestes du mari de l'intimée, apparaissaient comme conséquentes. Dans ces conditions, il y a lieu de penser que l'intimée aurait, tout comme elle l'avait fait après sa première grossesse, augmenté son temps de travail lorsque son enfant aurait un peu grandi, mais qu'elle n'aurait cette fois pas attendu trois ans pour ce faire. Le fait qu'elle a, à la naissance de son premier enfant, d'emblée travaillé de manière substantielle (28 heures hebdomadaires), constitue un indice qu'elle n'aurait pas considéré les besoins éducatifs des enfants comme suffisamment importants pour l'empêcher de reprendre rapidement le travail à temps complet. Ce taux d'occupation, évoqué par tous les témoins entendus, est d'autant plus plausible que l'intimée avait déjà occupé un poste à plein temps par le passé. Dans ces conditions, à supposer l'existence d'une règle selon laquelle, de manière générale les femmes, à la naissance d'un deuxième enfant, ont plutôt tendance à réduire leur temps de travail qu'à l'augmenter, celle-ci ne s'appliquerait pas en l'espèce. Quant au délai d'un an avant la reprise hypothétique du travail à temps complet, il a été évoqué comme une possibilité par le témoin C.________; compte tenu de ce qui précède, et en l'absence d'indications contraires, il n'était pas manifestement inexact de la part des premiers juges de le considérer comme déterminant. Il suit de là que l'intimée a un statut de personne active depuis novembre 2002.</w:t>
      </w:r>
    </w:p>
    <w:p>
      <w:r>
        <w:rPr>
          <w:b/>
        </w:rPr>
        <w:t>E. 5.1</w:t>
      </w:r>
    </w:p>
    <w:p>
      <w:r>
        <w:t>S'agissant de la répartition entre les champs d'activité de l'intimée avant novembre 2002, les premiers juges ont tenu compte du fait que celle-ci avait travaillé en dernier lieu à raison de 32 heures par semaine en moyenne et que l'horaire normal de travail hebdomadaire était de 38.5 heures. Ils en ont déduit que la part de l'activité professionnelle s'élevait à 83 % [32 x 100 : 38.5] et celle de l'accomplissement des travaux habituels à 17 %. Cette méthode de calcul est conforme à la jurisprudence (arrêt I 71/90 du 28 octobre 1991 consid. 1b, in RCC 1992 p. 134; arrêt I 357/89 du 20 décembre 1990 p. 324 consid. 2, in RCC 1991 p. 324). Aussi, on ne saurait admettre, comme le prétend le recourant, que l'intimée aurait exercé, jusqu'en octobre 2002, une activité professionnelle à 80 %.</w:t>
      </w:r>
    </w:p>
    <w:p>
      <w:r>
        <w:rPr>
          <w:b/>
        </w:rPr>
        <w:t>E. 5.2.1</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 art. 28a al. 3 LAI en corrélation avec l' art. 27bis RAI , ainsi que les art. 16 LPGA et 28a al. 2 LAI en corrélation avec les art. 27 RAI et 8 al. 3 LPGA).</w:t>
      </w:r>
    </w:p>
    <w:p>
      <w:r>
        <w:rPr>
          <w:b/>
        </w:rPr>
        <w:t>E. 5.2.2</w:t>
      </w:r>
    </w:p>
    <w:p>
      <w:r>
        <w:t>Ainsi, l'invalidité des assurés pour la part qu'ils consacrent à leur activité lucrative doit être évaluée selon la méthode ordinaire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w:t>
      </w:r>
    </w:p>
    <w:p>
      <w:r>
        <w:rPr>
          <w:b/>
        </w:rPr>
        <w:t>E. 5.2.3</w:t>
      </w:r>
    </w:p>
    <w:p>
      <w:r>
        <w:t>En l'espèce, il y a lieu de constater - en appliquant le droit d'office ( art. 106 al. 1 LTF ) - que les premiers juges ont calculé de manière erronée le degré d'invalidité pour la part consacrée à l'activité lucrative, établissant le revenu sans invalidité sur la base d'un salaire correspondant à une activité à plein temps au lieu de prendre en compte celui afférent à l'activité effective de l'intimée (cf. jugement, p. 21). Dès lors, le revenu sans invalidité à prendre en compte pour la période entre juin 2001 et fin octobre 2002 est de 37'437 fr., soit celui de l'intimée en 2000 (36'524 fr.), adapté au renchérissement pour l'année 2001 (+ 1.025 %; La Vie économique 2002, tableau B 10.3). En comparant ce montant au revenu de 19'985 fr. que celle-ci aurait pu gagner (cf. jugement, p. 22), on obtient un taux d'invalidité de 47 %. Vu le taux d'activité de l'intimée, la perte de gain était de 39 % (83 % x 47 %). Dans ces conditions, il n'est pas nécessaire d'examiner le grief du recourant relatif à l'empêchement dans la sphère ménagère. En effet, si celui-ci s'élevait à 9 %, comme il le prétend, il en résulte un degré d'invalidité de 1.53 % (17 % x 9 %) et, partant, un taux d'invalidité globale de 40.53 %. Si, au contraire, l'empêchement dans la sphère ménagère était de 22.75 % comme l'a retenu l'instance cantonale, le taux d'invalidité dans ce domaine serait de 3.86 % (17 % x 22.75 %), qui engendrerait un degré d'invalidité globale de 42.86 %. Dans les deux cas, l'intimée a droit à un quart de rente pour la période en question.</w:t>
      </w:r>
    </w:p>
    <w:p>
      <w:r>
        <w:rPr>
          <w:b/>
        </w:rPr>
        <w:t>E. 6</w:t>
      </w:r>
    </w:p>
    <w:p>
      <w:r>
        <w:t>Le taux d'invalidité de l'intimée pour la période postérieure au 31 octobre a été correctement établi par l'instance cantonale à 56 % entre le 1er novembre 2002 et le 31 juillet 2008, lui ouvrant le droit à une demi-rente, puis à 68 %, ce qui correspond à trois quarts de rente (cf. jugement, p. 22 et 25). Compte tenu de ce qui précède, il ne se justifie pas de renvoyer la cause au recourant.</w:t>
      </w:r>
    </w:p>
    <w:p>
      <w:r>
        <w:rPr>
          <w:b/>
        </w:rPr>
        <w:t>E. 7</w:t>
      </w:r>
    </w:p>
    <w:p>
      <w:r>
        <w:t>Vu l'issue du litige, les frais judiciaires sont mis à la charge du recourant, qui n'obtient que très partiellement gain de cause ( art. 66 al. 1 LTF ). L'intimée a droit à une indemnité de dépens pour la procédure fédérale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