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9C_628/2024 vom 3. September 2025</w:t>
      </w:r>
    </w:p>
    <w:p>
      <w:r>
        <w:t>Bundesgericht, 2025-09-03, DE</w:t>
      </w:r>
    </w:p>
    <w:p>
      <w:r>
        <w:rPr>
          <w:b/>
        </w:rPr>
        <w:t xml:space="preserve">Quelle: </w:t>
      </w:r>
      <w:r>
        <w:t>https://mcp.opencaselaw.ch/entscheid/bger_9C_628_2024</w:t>
      </w:r>
    </w:p>
    <w:p>
      <w:r>
        <w:t>FR: TF 9C_628/2024 du 3 septembre 2025</w:t>
      </w:r>
    </w:p>
    <w:p>
      <w:r>
        <w:t>IT: TF 9C_628/2024 del 3 settembre 2025</w:t>
      </w:r>
    </w:p>
    <w:p>
      <w:pPr>
        <w:pStyle w:val="Heading2"/>
      </w:pPr>
      <w:r>
        <w:t>Erwägungen</w:t>
      </w:r>
    </w:p>
    <w:p>
      <w:r>
        <w:rPr>
          <w:b/>
        </w:rPr>
        <w:t>E. 1.1</w:t>
      </w:r>
    </w:p>
    <w:p>
      <w:r>
        <w:t>Mit der Beschwerde in öffentlich-rechtlichen Angelegenheiten kann eine Rechtsverletzung nach Art. 95 f. BGG gerügt werden.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Auf bloss allgemein gehaltene, appellatorische Kritik am angefochtenen Entscheid geht das Bundesgericht nicht ein ( BGE 148 V 366 E. 3.3; 144 V 50 E. 4.2 mit Hinweisen).</w:t>
      </w:r>
    </w:p>
    <w:p>
      <w:r>
        <w:rPr>
          <w:b/>
        </w:rPr>
        <w:t>E. 2.1</w:t>
      </w:r>
    </w:p>
    <w:p>
      <w:r>
        <w:t>Streitig und zu prüfen ist, ob Bundesrecht verletzt wurde, indem die Vorinstanz die Beschwerdeführer als Solidarhafter dazu verpflichtet hat, der Beschwerdegegnerin für entgangene Beiträge einen Schadenersatz von Fr. 772'037.60 zu bezahlen.</w:t>
      </w:r>
    </w:p>
    <w:p>
      <w:r>
        <w:rPr>
          <w:b/>
        </w:rPr>
        <w:t>E. 2.2</w:t>
      </w:r>
    </w:p>
    <w:p>
      <w:r>
        <w:t>Die für die Beurteilung des Anspruchs auf Schadenersatz nach Gesetz und Rechtsprechung massgebenden Grundlagen wurden im angefochtenen Entscheid - teils unter Verweis auf den Entscheid II 2021 96+97 vom 17. Mai 2022 - richtig dargestellt, weshalb darauf verwiesen wird ( Art. 109 Abs. 3 BGG ).</w:t>
      </w:r>
    </w:p>
    <w:p>
      <w:r>
        <w:rPr>
          <w:b/>
        </w:rPr>
        <w:t>E. 3.1</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3.2</w:t>
      </w:r>
    </w:p>
    <w:p>
      <w:r>
        <w:t>Soweit die Beschwerdeführer eine Verletzung des rechtlichen Gehörs im Sinne der Begründungspflicht rügen, kann ihnen nicht gefolgt werden: Dem angefochtenen Entscheid ist zu entnehmen, von welchen Überlegungen sich die Vorinstanz leiten liess. Mit Blick auf die Erwägungen erhellt insbesondere rechtsgenüglich, was das kantonale Gericht dazu bewogen hat, der Schadensberechnung der Beschwerdegegnerin zu folgen. Eine sachgerechte Anfechtung war damit möglich, auch wenn sich die Vorinstanz nicht zu allen Vorbringen geäussert haben mag.</w:t>
      </w:r>
    </w:p>
    <w:p>
      <w:r>
        <w:rPr>
          <w:b/>
        </w:rPr>
        <w:t>E. 4.1</w:t>
      </w:r>
    </w:p>
    <w:p>
      <w:r>
        <w:t>Die Vorinstanz hat die aktenkundigen Erklärungen der Beschwerdegegnerin zur Berechnung der Schadenssumme sowie insbesondere der Lohnsumme 2016 und die seitens der Beschwerdeführer dagegen vorgebrachten Einwände ausführlich wiedergegeben und als Zwischenergebnis festgehalten, die Beschwerdegegnerin habe einerseits die handschriftlichen Bemerkungen auf dem Kontoauszug vom 10. Februar 2020 unter Bezugnahme auf den Kontoauszug vom 2. November 2018 nachvollziehbar und einleuchtend erklärt. Andererseits habe sie nochmals plausibel ihre ermessensweise Ermittlung der beitragspflichtigen Lohnsumme 2016 dargelegt - beides offensichtlich unter erneuter aufwändiger Sichtung der mehrere tausend Seiten umfassenden Beitragsunterlagen.</w:t>
      </w:r>
    </w:p>
    <w:p>
      <w:r>
        <w:t>Das kantonale Gericht hat sich weiter mit einem von den Beschwerdeführern geltend gemachten Überschuss gemäss Abrechnung 2014 auseinandergesetzt und das Vorbringen, es werde "wild umgebucht, storniert, hin- und hergeschoben", respektive "auf Rechnungen und Zahlungen verwiesen, von welchen man nicht weiss, wie diese entstanden sind und woher sie stammen", entkräftet.</w:t>
      </w:r>
    </w:p>
    <w:p>
      <w:r>
        <w:t>Sodann hat die Vorinstanz die Behauptung der Beschwerdeführer, die AHV-beitragspflichtige Lohnsumme 2015 betrage Fr. 3'098'233.- und nicht Fr. 3'293'208.-, unter Hinweis auf die eigene Deklaration der Beschwerdeführer als aktenwidrig bezeichnet und die konkreten Einwände betreffend den Beitragsausstand für das Jahr 2015 unter Bezugnahme auf die Stellungnahme der Beschwerdegegnerin vom 5. Februar 2024 abgetan.</w:t>
      </w:r>
    </w:p>
    <w:p>
      <w:r>
        <w:t>Mit Bezug auf die seitens der Beschwerdeführer gegen die ermessensweise Ermittlung der Lohnsumme 2016 vorgebrachten Einwände hat die Vorinstanz zunächst dargelegt, weshalb sich die Beschwerdeführer trotz Beendigung ihrer Organeigenschaft vor Ablauf des Kalenderjahres 2016 nicht von ihrer Verantwortung entlasten können und sodann die Zulässigkeit einer ermessensweisen Ermittlung der Beitragsausstände 2016 (unter Bezugnahme auf ihren Entscheid II 2021 96+97 vom 17. Mai 2022) begründet, wobei sie im Einzelnen auf die konkreten Rügen der Beschwerdeführer einging (geltend gemachter Abbau des Personalverleihs, wesentlich tieferer Umsatz im Jahr 2016 sowie tiefere Lohnsumme [zufällige Auswahl von Mitarbeitern und Löhnen]).</w:t>
      </w:r>
    </w:p>
    <w:p>
      <w:r>
        <w:t>Ausserdem wies das kantonale Gericht darauf hin, dass die Unternehmung während der Organschaft der Beschwerdeführer wiederholt gemahnt werden musste, (ergänzende) Unterlagen betreffend die Familienzulagen einzureichen, wobei letztlich davon ausgegangen werden müsse, dass die Unterlagen unvollständig geblieben seien. Zudem gebe es verschiedene Widersprüche und Unklarheiten im Zusammenhang mit der hinsichtlich verschiedener Mitarbeiter aufgeführten Anstellungsdauer. Mithin bestünden keine rechtsgenüglichen Hinweise, dass die ermessensweise Gegenrechnung der Beschwerdeführer gegenüber der ermessensweisen Festsetzung der Lohnsumme 2016 durch die Beschwerdegegnerin die höhere Wahrscheinlichkeit für sich beanspruchen könnte. Mit überwiegender Wahrscheinlichkeit komme die Vergleichsrechnung der Beschwerdegegnerin der Realität näher, was die Vorinstanz mit einer Kontrollrechnung plausibilisierte.</w:t>
      </w:r>
    </w:p>
    <w:p>
      <w:r>
        <w:t>Schliesslich hat das kantonale Gericht dargelegt, dass die Rüge nicht zutrifft, wonach die Beschwerdegegnerin bei den von ihr eingeforderten Ausständen verschiedene Positionen zu Lasten der Beschwerdeführer unberücksichtigt gelassen habe.</w:t>
      </w:r>
    </w:p>
    <w:p>
      <w:r>
        <w:t>Zusammenfassend ist das kantonale Gericht der Beschwerdegegnerin hinsichtlich des für das Jahr 2016 geltend gemachten Ausstandes von insgesamt Fr. 444'976.45 gefolgt und hat eine Gesamtforderung von Fr. 772'037.60 (2015: Fr. 327'061.15; 2016: Fr. 444'976.45) bestätigt. Im Zusammenhang mit den weiteren (erneut bestrittenen) Haftungsvoraussetzungen hat die Vorinstanz auf die Erwägungen im Entscheid II 2021 96+97 vom 17. Mai 2022 verwiesen.</w:t>
      </w:r>
    </w:p>
    <w:p>
      <w:r>
        <w:rPr>
          <w:b/>
        </w:rPr>
        <w:t>E. 4.2</w:t>
      </w:r>
    </w:p>
    <w:p>
      <w:r>
        <w:t>Was die Beschwerdeführer dagegen vorbringen, verfängt nicht:</w:t>
      </w:r>
    </w:p>
    <w:p>
      <w:r>
        <w:t>Das kantonale Gericht hat nachvollziehbar aufgezeigt, warum der Beschwerdegegnerin hinsichtlich der Ermittlung der Schadenssumme - darunter insbesondere der Lohnsummen - für die Jahre 2015 und 2016 zu folgen ist. Daraus erhellt auch, weshalb der Schaden im Ergebnis höher ausfällt, als noch im Entscheid vom 17. Mai 2022 (II 2021 96+97). Es ist daran zu erinnern, dass Willkür selbst dann nicht vorliegt, wenn eine andere Lösung plausibler erscheint, sondern erst, wenn die Beweiswürdigung als unhaltbar qualifiziert werden muss. Inwiefern dies vorliegend der Fall sein soll, wird nicht rechtsgenüglich substanziiert (vgl. E. 1.2 hiervor). Soweit die Beschwerdeführer auf eine "gleiche Schätzung" der Beschwerdeführer und der Beschwerdegegnerin hindeuten wollen, kann ihnen bereits unter Verweis auf die durch sie selbst in der Beschwerdeschrift erwähnten Unterschiede nicht gefolgt werden.</w:t>
      </w:r>
    </w:p>
    <w:p>
      <w:r>
        <w:t>Auf Weiterungen ist mit Blick auf die im Übrigen unsubstanziierte respektive rein appellatorische Kritik am angefochtenen Entscheid zu verzichten.</w:t>
      </w:r>
    </w:p>
    <w:p>
      <w:r>
        <w:rPr>
          <w:b/>
        </w:rPr>
        <w:t>E. 5.1</w:t>
      </w:r>
    </w:p>
    <w:p>
      <w:r>
        <w:t>Die Beschwerde ist offensichtlich unbegründet, weshalb sie im vereinfachten Verfahren nach Art. 109 Abs. 2 lit. a BGG mit summarischer Begründung und unter Hinweis auf die Erwägungen im angefochtenen Entscheid erledigt wird ( Art. 109 Abs. 3 BGG ).</w:t>
      </w:r>
    </w:p>
    <w:p>
      <w:r>
        <w:rPr>
          <w:b/>
        </w:rPr>
        <w:t>E. 5.2</w:t>
      </w:r>
    </w:p>
    <w:p>
      <w:r>
        <w:t>Die Gerichtskosten werden den unterliegenden Beschwerdeführern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