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9C_626/2019 vom 26. November 2019</w:t>
      </w:r>
    </w:p>
    <w:p>
      <w:r>
        <w:t>Bundesgericht, 2019-11-26, DE</w:t>
      </w:r>
    </w:p>
    <w:p>
      <w:r>
        <w:rPr>
          <w:b/>
        </w:rPr>
        <w:t xml:space="preserve">Quelle: </w:t>
      </w:r>
      <w:r>
        <w:t>https://mcp.opencaselaw.ch/entscheid/bger_9C_626_2019</w:t>
      </w:r>
    </w:p>
    <w:p>
      <w:r>
        <w:t>FR: TF 9C_626/2019 du 26 novembre 2019</w:t>
      </w:r>
    </w:p>
    <w:p>
      <w:r>
        <w:t>IT: TF 9C_626/2019 del 26 novembre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Bei einer Neuanmeldung zum Bezug von Leistungen der Invalidenversicherung finden die Grundsätze zur Rentenrevision analog Anwendung ( Art. 17 Abs. 1 ATSG ; Art. 87 Abs. 2 und 3 IVV [SR 831.201]; BGE 130 V 71 E. 3.2.3 S. 77), weshalb zunächst eine anspruchsrelevante Veränderung des Sachverhalts erforderlich ist. Erst in einem zweiten Schritt ist der (Renten-) Anspruch in tatsächlicher und rechtlicher Hinsicht umfassend zu prüfen ( BGE 141 V 9 ; Urteile 9C_27/2019 vom 27. Juni 2019 E. 2; 9C_247/2017 vom 7. August 2017 E. 2.1).</w:t>
      </w:r>
    </w:p>
    <w:p>
      <w:r>
        <w:rPr>
          <w:b/>
        </w:rPr>
        <w:t>E. 3.1</w:t>
      </w:r>
    </w:p>
    <w:p>
      <w:r>
        <w:t>Es liegt keine Verletzung des Anspruchs auf rechtliches Gehör resp. der Begründungspflicht vor, wenn eine sachgerechte Anfechtung des vorinstanzlichen Entscheids möglich war (vgl. BGE 142 III 433 E. 4.3.2 S. 436 mit Hinweisen). Das trifft hier zu.</w:t>
      </w:r>
    </w:p>
    <w:p>
      <w:r>
        <w:rPr>
          <w:b/>
        </w:rPr>
        <w:t>E. 3.2</w:t>
      </w:r>
    </w:p>
    <w:p>
      <w:r>
        <w:t>Die Vorinstanz hat nach einlässlicher Würdigung der aktenkundigen medizinischen Unterlagen festgestellt, die Arbeitsfähigkeit der Versicherten habe sich seit Erlass der Verfügung vom 1. September 2008 insgesamt nicht wesentlich verändert.</w:t>
      </w:r>
    </w:p>
    <w:p>
      <w:r>
        <w:t>Es ist nicht ersichtlich und wird auch nicht substanziiert geltend gemacht, dass diese Feststellung offensichtlich unrichtig (unhaltbar, willkürlich: BGE 135 II 145 E. 8.1 S. 153; Urteil 9C_607/2012 vom 17. April 2013 E. 5.2) sein oder sonst auf einer Rechtsverletzung beruhen soll. Sie bleibt daher für das Bundesgericht verbindlich (E. 1).</w:t>
      </w:r>
    </w:p>
    <w:p>
      <w:r>
        <w:rPr>
          <w:b/>
        </w:rPr>
        <w:t>E. 3.3</w:t>
      </w:r>
    </w:p>
    <w:p>
      <w:r>
        <w:t>Mangels einer Sachverhaltsveränderung (in medizinischer oder erwerblicher Hinsicht) fehlt ein Revisionsgrund analog zu Art. 17 ATSG . Somit zielt die materielle Kritik an der vorinstanzlichen Invaliditätsbemessung, soweit damit überhaupt eine rechtsfehlerhafte Ermessensausübung moniert wird (vgl. BGE 135 V 297 E. 5.2 S. 301 und 132 V 393 E. 3.3 in fine S. 399), ins Leere; darauf ist nicht einzugehen.</w:t>
      </w:r>
    </w:p>
    <w:p>
      <w:r>
        <w:rPr>
          <w:b/>
        </w:rPr>
        <w:t>E. 3.4</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