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9C_626/2007 vom 28. Dezember 2007</w:t>
      </w:r>
    </w:p>
    <w:p>
      <w:r>
        <w:t>Bundesgericht, 2007-12-28, DE</w:t>
      </w:r>
    </w:p>
    <w:p>
      <w:r>
        <w:rPr>
          <w:b/>
        </w:rPr>
        <w:t xml:space="preserve">Quelle: </w:t>
      </w:r>
      <w:r>
        <w:t>https://mcp.opencaselaw.ch/entscheid/bger_9C_626_2007</w:t>
      </w:r>
    </w:p>
    <w:p>
      <w:r>
        <w:t>FR: TF 9C_626/2007 du 28 décembre 2007</w:t>
      </w:r>
    </w:p>
    <w:p>
      <w:r>
        <w:t>IT: TF 9C_626/2007 del 28 dicembre 2007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Verwaltung und Vorinstanz haben in materiell- und beweisrechtlicher Hinsicht die für die Beurteilung des Rentenanspruchs ( Art. 28 IVG ) massgeblichen Grundlagen sowie die diesbezügliche Rechtsprechung zutreffend dargelegt. Darauf wird verwiesen.</w:t>
      </w:r>
    </w:p>
    <w:p>
      <w:r>
        <w:rPr>
          <w:b/>
        </w:rPr>
        <w:t>E. 3</w:t>
      </w:r>
    </w:p>
    <w:p>
      <w:r>
        <w:t>Streitig und zu prüfen ist der Rentenanspruch ab 1. April 2004. Denn entgegen den Ausführungen des Beschwerdeführers ist im Urteil des Sozialversicherungsgerichts vom 9. Juni 2005 nur bezüglich dieses Zeitraums zurückgewiesen, bis dahin jedoch die halbe Rente bestätigt worden.</w:t>
      </w:r>
    </w:p>
    <w:p>
      <w:r>
        <w:rPr>
          <w:b/>
        </w:rPr>
        <w:t>E. 3.1</w:t>
      </w:r>
    </w:p>
    <w:p>
      <w:r>
        <w:t>Das kantonale Gericht hat erkannt, dass der Beschwerdeführer auf Grund seiner gesundheitlichen Beeinträchtigung bei einem Arbeitspensum von 60 % im Einkommensvergleich (Stufe angestellter Geschäftsführer) ab 1. Juli 2004 nur noch einen Invaliditätsgrad von 49 % erreichte und deshalb noch Anspruch auf eine Viertelsrente hatte. Es hat die Gründe, die zur Abweisung der Beschwerde geführt haben, im angefochtenen Entscheid unter einlässlicher Würdigung der gesamten medizinischen Aktenlage dargelegt. Dabei hat es namentlich gestützt auf die Berichte der Fachärzte FMH für Psychiatrie und Psychotherapie Dres. med. S.________ (vom 3. Oktober 2001) und E.________ (vom 28. August 2003; gemeinsam mit lic. phil. H.________, Fachpsychologe für Psychotherapie FSP) sowie des in Nachachtung des ersten vorinstanzlichen Entscheides beim Universitätsspital X.________ in Auftrag gegebenen Gutachtens (vom 30. Dezember 2005) geprüft, ob und in welchem Ausmass sich in der Zeit ab 1. April 2004 bis 31. Dezember 2005 eine gesundheitliche Verbesserung eingestellt hat.</w:t>
      </w:r>
    </w:p>
    <w:p>
      <w:r>
        <w:rPr>
          <w:b/>
        </w:rPr>
        <w:t>E. 3.2</w:t>
      </w:r>
    </w:p>
    <w:p>
      <w:r>
        <w:t>Diese Sachverhaltsfeststellungen sind für das Bundesgericht verbindlich, da sie nicht offensichtlich unrichtig oder unvollständig sind. Von unvollständiger Tatsachenfeststellung, die nach Art. 105 Abs. 2 BGG als Rechtsverletzung gilt, könnte nur gesprochen werden, wenn bezüglich einer rechtserheblichen Tatsache (z.B. hinsichtlich des Gesundheitsschadens, des funktionellen Leistungsvermögens, der verfügbaren psychischen Ressourcen, der medizinisch zumutbaren restlichen Arbeitsfähigkeit etc.) keine gerichtliche Feststellung getroffen worden ist. Dies ist hier nicht der Fall; die Vorinstanz hat vom Gutachten des Universitätsspitals X.________ ausgehend die Arbeitsunfähigkeit auf 40 % festgelegt. Das ist nicht offensichtlich unrichtig: Die retrospektive gutachterliche Einschätzung einer Arbeitsunfähigkeit von "30 % bis 50 %" lässt ohne nähere Angaben darauf schliessen, dass eine Arbeitsunfähigkeit von 30 % tendenziell als zu niedrig, von 50 % dagegen als eher zu hoch angesehen wird. Es rechtfertigt sich, für die Invaliditätsbemessung den Mittelwert heranzuziehen. Dieses Vorgehen vermeidet Rechtsungleichheiten, die sich einstellen können, wenn der eine Gutachter die an sich gleiche Beurteilung in einem einzigen Wert, der andere aber in einer mehr oder weniger grossen Spannbreite ausdrückt. Das Eidgenössische Versicherungsgericht hat in vergleichbaren Konstellationen regelmässig auf den Mittelwert abgestellt und entsprechende vorinstanzliche Entscheide geschützt (Urteil I 822/04 vom 21. April 2005 E. 4.4 mit Hinweisen auf die Urteile I 378/02 vom 15. Januar 2004 E. 4.1; I 734/02 vom 5. Juni 2003 E. 4.3.2; I 328/02 vom 3. März 2003 E. 4.2; I 266/01 vom 19. August 2002 E. 3.2; I 314/00 vom 7. Mai 2001 E. 2b).</w:t>
      </w:r>
    </w:p>
    <w:p>
      <w:r>
        <w:rPr>
          <w:b/>
        </w:rPr>
        <w:t>E. 4.1</w:t>
      </w:r>
    </w:p>
    <w:p>
      <w:r>
        <w:t>Was die bereits vor kantonaler Instanz vorgebrachten übrigen Rügen anbelangt (für die medizinische Beurteilung seien nicht alle Akten und Unterlagen herangezogen worden; für das Gutachten des Universitätsspitals X.________ hätten die Akten des Hausarztes nicht vorgelegen; es sei von falschen Annahmen hinsichtlich der Organisation des Umzuges nach Spanien ausgegangen worden; über den Invaliditätsgrad bis 31. März 2004 sei noch nicht rechtskräftig entschieden; ein versicherungsinterner Bericht des IV-Stellen-Arztes Dr. med. O.________ sei nicht offen gelegt worden), ist im angefochtenen Entscheid das Wesentliche bereits dargelegt worden. Auch darauf wird verwiesen.</w:t>
      </w:r>
    </w:p>
    <w:p>
      <w:r>
        <w:rPr>
          <w:b/>
        </w:rPr>
        <w:t>E. 4.2</w:t>
      </w:r>
    </w:p>
    <w:p>
      <w:r>
        <w:t>Insbesondere kann aber nicht davon die Rede sein, das Gutachten sei von falschen Annahmen ausgegangen, wenn es in einem Teilaspekt (Organisation des Umzuges nach Spanien) dem Beschwerdeführer allenfalls eine aktivere Rolle zugeordnet hat, als er sie effektiv wahrnahm, weil primär die Umzugsfirma und die Ehefrau mit der Vorbereitung und Umsetzung besorgt waren. Dass im Zeitpunkt des ersten vorinstanzlichen Entscheides die Erkenntnisse des Gutachtens des Universitätsspitals X.________ noch nicht vorlagen, ändert nichts daran; im Übrigen ergeben sich aus dem betreffenden Gutachten auch abgesehen von der Umzugsthematik keine weitergehenden Einschränkungen und der Beschwerdeführer macht auch keine solchen geltend. Auch hat die IV-Stelle gestützt darauf für die Zeit bis zum 31. März 2004 nichts Abweichendes verfügt und so ihren früheren Entscheid auch nicht in Revision gezogen. Nach der vom Beschwerdeführer angesprochenen Aktennotiz der IV-Stellen-Mitarbeiterin (vom 2. September 2005) hat Dr. med. O.________ keinen Bericht verfasst, sondern die Sachbearbeiterin hat die Angelegenheit mit ihm besprochen und seine Stellungnahme festgehalten, wonach eine Rente zuzusprechen und später ein neues Gutachten zu veranlassen sei. Die Verfügung vom 11. Dezember 2006 und der kantonale Entscheid gründen denn auch nur auf dem Gutachten des Universitätsspitals X.________. Bleibt anzufügen, dass der Invaliditätsgrad anhand der verbliebenen Erwerbsfähigkeit in einer leidensangepassten Beschäftigung zu bemessen ist ( Art. 7 und 8 ATSG ). Wenn der Beschwerdeführer vorbringen lässt, aus seiner Sicht sei ihm eine solche Arbeit nicht zumutbar, kann dies nicht entscheidend sein, weil die Zumutbarkeit einer Tätigkeit nicht aus der subjektiven Sicht des gesundheitlich Eingeschränkten zu beurteilen ist, sondern auf objektiv- medizinischer ärztlicher Einschätzung der Arbeitsfähigkeit in einer Verweisungstätigkeit beruht. Bei der gegebenen medizinischen Aktenlage besteht kein Anlass für eine weitere Begutachtung oder zu anderen medizinischen Abklärungen oder einem Arbeitsversuch.</w:t>
      </w:r>
    </w:p>
    <w:p>
      <w:r>
        <w:rPr>
          <w:b/>
        </w:rPr>
        <w:t>E. 5</w:t>
      </w:r>
    </w:p>
    <w:p>
      <w:r>
        <w:t>Die Beschwerde ist offensichtlich unbegründet und im vereinfachten Verfahren nach Art. 109 Abs. 2 lit. a BGG zu erledigen.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