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623/2022 vom 27. Februar 2023</w:t>
      </w:r>
    </w:p>
    <w:p>
      <w:r>
        <w:t>Bundesgericht, 2023-02-27, DE</w:t>
      </w:r>
    </w:p>
    <w:p>
      <w:r>
        <w:rPr>
          <w:b/>
        </w:rPr>
        <w:t xml:space="preserve">Quelle: </w:t>
      </w:r>
      <w:r>
        <w:t>https://mcp.opencaselaw.ch/entscheid/bger_9C_623_2022</w:t>
      </w:r>
    </w:p>
    <w:p>
      <w:r>
        <w:t>FR: TF 9C 623/2022 du 27 février 2023</w:t>
      </w:r>
    </w:p>
    <w:p>
      <w:r>
        <w:t>IT: TF 9C 623/2022 del 27 febbraio 2023</w:t>
      </w:r>
    </w:p>
    <w:p>
      <w:pPr>
        <w:pStyle w:val="Heading2"/>
      </w:pPr>
      <w:r>
        <w:t>Regeste</w:t>
      </w:r>
    </w:p>
    <w:p>
      <w:r>
        <w:t>Staats- und Gemeindesteuer des Kantons Aargau, Steuerperiode 2012 | Öffentliche Finanzen &amp; Abgaberecht</w:t>
      </w:r>
    </w:p>
    <w:p>
      <w:pPr>
        <w:pStyle w:val="Heading2"/>
      </w:pPr>
      <w:r>
        <w:t>Erwägungen</w:t>
      </w:r>
    </w:p>
    <w:p>
      <w:r>
        <w:rPr>
          <w:b/>
        </w:rPr>
        <w:t>E. 1.1</w:t>
      </w:r>
    </w:p>
    <w:p>
      <w:r>
        <w:t>Die Voraussetzungen der Beschwerde in öffentlich-rechtlichen Angelegenheiten liegen vor (Art. 82 lit. a, Art. 83 e contrario, Art. 86 Abs. 1 lit. d und Abs. 2, Art. 89 Abs. 1, Art. 90, Art. 100 Abs. 1 BGG in Verbindung mit Art. 73 des Bundesgesetzes vom 14. Dezember 1990 über die Harmonisierung der direkten Steuern der Kantone und Gemeinden [StHG; SR 642.14] ). Auf die Beschwerde ist einzutreten.</w:t>
      </w:r>
    </w:p>
    <w:p>
      <w:r>
        <w:rPr>
          <w:b/>
        </w:rPr>
        <w:t>E. 1.2</w:t>
      </w:r>
    </w:p>
    <w:p>
      <w:r>
        <w:t>Die Vorinstanz nennt im Rubrum des angefochtenen Urteils neben dem Jahr 2012 auch das Jahr 2013 als streitbetroffene Steuerperiode. Die Parteien sind sich jedoch einig und es ergibt sich auch aus den Erwägungen der Vorinstanz, dass alleine die Steuerperiode 2012 Gegenstand des vorliegenden Verfahrens ist. Dem steht nicht entgegen, dass die Vorinstanz in ihrer tatsächlichen Würdigung verschiedene Geschehnisse berücksichtigt hat, die sich nach dem Ende der Steuerperiode 2012 zugetragen haben.</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 II. Formelle Rügen</w:t>
      </w:r>
    </w:p>
    <w:p>
      <w:r>
        <w:rPr>
          <w:b/>
        </w:rPr>
        <w:t>E. 3</w:t>
      </w:r>
    </w:p>
    <w:p>
      <w:r>
        <w:t>Die Beschwerdeführerin rügt in formeller Hinsicht, dass die Vorinstanz den Sachverhalt in verschiedener Hinsicht offensichtlich unrichtig festgestellt habe.</w:t>
      </w:r>
    </w:p>
    <w:p>
      <w:r>
        <w:rPr>
          <w:b/>
        </w:rPr>
        <w:t>E. 3.1</w:t>
      </w:r>
    </w:p>
    <w:p>
      <w:r>
        <w:t>Die Vorinstanz hat zusammengefasst festgestellt, dass G.________ und H.________ im relevanten Zeitraum faktische Organe der Beschwerdeführerin gewesen seien und diese sich das Wissen dieser beiden Personen zurechnen lassen müsse. H.________ sei bereits 2010 bei der J.________ AG als Rennfahrer engagiert und selbst Gläubiger dieser Gesellschaft gewesen. Schon zum Zeitpunkt der Darlehensbegebung (1. November 2010) habe die Beschwerdeführerin daher Kenntnis der Sanierungsbedürftigkeit und der sich zunehmend verschlechternden finanziellen Situation der J.________ AG gehabt (vgl. angefochtenes Urteil E. 3.3). Nichtsdestotrotz habe die Beschwerdeführerin im Jahr 2011 die Forderung weder abgeschrieben noch wertberichtigt und auch keine Rückstellung gebildet, was als klares Indiz dafür zu werten sei, dass die Beschwerdeführerin weiterhin von der Werthaltigkeit der Forderung ausgegangen sei. Die Beschwerdeführerin habe alsdann beim Verkauf der Forderung auf eine gleichwertige Gegenleistung verzichtet und so letztlich ihrem faktischen Geschäftsführer G.________ einen geldwerten Vorteil zugewendet (vgl. angefochtenes Urteil E. 4.4). Der L.________ AG sei derweil bloss die Rolle eines "Strohmanns" zugekommen. Diese Gesellschaft sei effektiv gar nie Gläubigerin der ihr übertragenen Darlehensforderung gewesen; es müsse mithin von einer simulierten Übertragung ausgegangen werden (vgl. angefochtenes Urteil E. 4.2). Diese Würdigung der Rolle der L.________ AG hat die Vorinstanz unter anderem auf eine Reihe von Aussagen der involvierten Personen gestützt, die sie selbst befragt hatte (vgl. angefochtenes Urteil Sachverhalt Ziff. E. 4.1). Unter Berücksichtigung der Gegebenheiten, die der Vorinstanz aus dem Parallelverfahren betreffend die B.A.________ AG (Verfahren 9C_621/2022) bekannt waren, hat die Vorinstanz festgestellt, dass die Geschäfte (Forderungsverkauf der Beschwerdeführerin an G.________ via die L.________ AG und Verkauf der Liegenschaft der B.A.________ AG an die J.________ AG) darauf ausgelegt gewesen seien, G.________ einen geldwerten Vorteil zu verschaffen (angefochtenes Urteil E. 4.3). Konkret habe die Beschwerdeführerin durch den Verzicht auf Fr. 525'000.- im Rahmen der Veräusserung der (nach wie vor voll werthaltigen) Darlehensforderung G.________ einen Vorteil zukommen lassen, der einem Dritten so nicht erbracht worden wäre.</w:t>
      </w:r>
    </w:p>
    <w:p>
      <w:r>
        <w:rPr>
          <w:b/>
        </w:rPr>
        <w:t>E. 3.2</w:t>
      </w:r>
    </w:p>
    <w:p>
      <w:r>
        <w:t>Die Beschwerdeführerin beanstandet, die Vorinstanz habe in Bezug auf die Rolle der L.________ AG die Beweismittel offensichtlich unrichtig gewürdigt. In diesem Punkt kann der Beschwerdeführerin nicht gefolgt werden. Sie zeigt nicht schlüssig auf, welches eigene Interesse die L.________ AG und ihr Geschäftsführer an der Übernahme der Darlehensforderung gehabt haben sollen. Angesichts der zeitlichen Abläufe erscheint die Würdigung der Vorinstanz, wonach die L.________ AG lediglich die Funktion eines Strohmanns für G.________ eingenommen habe, jedenfalls nicht als offensichtlich unrichtig. Ob der Verkauf und die Abtretung der Darlehensforderung von der Beschwerdeführerin an die L.________ AG simuliert waren, was bedeuten würde, dass diese Rechtsgeschäfte nicht vom Willen der Vertragsparteien getragen waren, oder die L.________ AG die Forderung zwar wirksam übernahm, dabei aber treuhänderisch für G.________ handelte, kann aus der hier massgeblichen steuerrechtlichen Sicht offen bleiben.</w:t>
      </w:r>
    </w:p>
    <w:p>
      <w:r>
        <w:rPr>
          <w:b/>
        </w:rPr>
        <w:t>E. 3.3</w:t>
      </w:r>
    </w:p>
    <w:p>
      <w:r>
        <w:t>Zuzustimmen ist der Beschwerdeführerin dagegen, soweit sie geltend macht, die Vorinstanz setze sich in Widerspruch zu ihrer Würdigung desselben Sachverhalts im Parallelverfahren betreffend die B.A.________ AG (Verfahren 9C_621/2022). Dort stellt sich die Vorinstanz auf den Standpunkt, der Verkauf der Liegenschaft durch die B.A.________ AG habe gerade dazu gedient, die von G.________ aufgekaufte Forderung wieder werthaltig zu machen. Die Einschätzung der Vorinstanz im Parallelverfahren erscheint plausibler als die im vorliegenden Verfahren vertretene Sichtweise, wonach die Forderung der Beschwerdeführerin stets werthaltig gewesen sein soll. Schliesslich stellt die Vorinstanz die Sanierungsbedürftigkeit der J.________ AG nicht infrage und hatte überdies nicht nur die Beschwerdeführerin, sondern hatten auch andere Gläubiger Forderungen unter dem Nominalbetrag via die L.________ AG an G.________ verkauft. Mit der erforderlichen Gewissheit steht für das Bundesgericht allerdings lediglich fest, dass G.________ im Zusammenhang mit der Rückzahlung der von ihm erworbenen Forderung von Fr. 1'130'000.- eine geldwerte Leistung im Umfang von Fr. 525'000.- jedenfalls nicht doppelt zugeflossen ist, sodass daraus nur eine verdeckte Gewinnausschüttung entweder von der B.A.________ AG (infolge des unterpreislichen Verkaufs der Liegenschaft) oder von der Beschwerdeführerin (infolge des potenziell unterpreislichen Verkaufs der Darlehensforderung) und nicht von beiden Gesellschaften abgeleitet werden kann. Demgemäss lassen sich die verschiedenen Standpunkte der Vorinstanz in den zwei Verfahren in guten Treuen nicht miteinander vereinbaren. Die Feststellung der Vorinstanz im vorliegenden Verfahren, wonach die Forderung der Beschwerdeführerin durchgehend voll werthaltig gewesen sei, muss bei einer Gesamtbetrachtung der Umstände in beiden Verfahren, welche nach ihrem eigenen Bekunden auch die Vorinstanz für massgeblich hält, als unhaltbar und offensichtlich unrichtig bezeichnet werden.</w:t>
      </w:r>
    </w:p>
    <w:p>
      <w:r>
        <w:rPr>
          <w:b/>
        </w:rPr>
        <w:t>E. 3.4</w:t>
      </w:r>
    </w:p>
    <w:p>
      <w:r>
        <w:t>Da die Frage der Werthaltigkeit der Forderung für den Ausgang des Verfahrens entscheidend ist und auf der Basis der dem Bundesgericht vorliegenden Akten nicht beurteilt werden kann, ist das angefochtene Urteil aufzuheben und die Sache an die Vorinstanz zurückzuweisen ( Art. 107 Abs. 2 BGG ). Die Vorinstanz wird diese Frage neu zu untersuchen und ihr Untersuchungsergebnis aufgrund der erforderlichen Gesamtbetrachtung beiden Verfahren einheitlich zugrundezulegen haben. Unter diesen Umständen erübrigt es sich, auf die weiteren Elemente der verdeckten Gewinnausschüttung und die diesbezüglichen Rügen der Beschwerdeführerin einzugehen. III. Verfahrensausgang, Kosten und Entschädigung</w:t>
      </w:r>
    </w:p>
    <w:p>
      <w:r>
        <w:rPr>
          <w:b/>
        </w:rPr>
        <w:t>E. 4</w:t>
      </w:r>
    </w:p>
    <w:p>
      <w:r>
        <w:t>Die Beschwerde erweist sich als begründet und ist gutzuheissen. Die Angelegenheit ist zur Sachverhaltsergänzung und Neubeurteilung im Sinne der Erwägungen an die Vorinstanz zurückzuweisen. Die Gerichtskosten trägt der Kanton Aargau, der Vermögensinteressen verfolgt ( Art. 66 Abs. 1 und 4 BGG ). Der Kanton Aargau hat der Beschwerdeführerin eine angemessene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