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9C_623/2021 vom 16. März 2022</w:t>
      </w:r>
    </w:p>
    <w:p>
      <w:r>
        <w:t>Bundesgericht, 2022-03-16, DE</w:t>
      </w:r>
    </w:p>
    <w:p>
      <w:r>
        <w:rPr>
          <w:b/>
        </w:rPr>
        <w:t xml:space="preserve">Quelle: </w:t>
      </w:r>
      <w:r>
        <w:t>https://mcp.opencaselaw.ch/entscheid/bger_9C_623_2021</w:t>
      </w:r>
    </w:p>
    <w:p>
      <w:r>
        <w:t>FR: TF 9C_623/2021 du 16 mars 2022</w:t>
      </w:r>
    </w:p>
    <w:p>
      <w:r>
        <w:t>IT: TF 9C_623/2021 del 16 marzo 2022</w:t>
      </w:r>
    </w:p>
    <w:p>
      <w:pPr>
        <w:pStyle w:val="Heading2"/>
      </w:pPr>
      <w:r>
        <w:t>Erwägungen</w:t>
      </w:r>
    </w:p>
    <w:p>
      <w:r>
        <w:rPr>
          <w:b/>
        </w:rPr>
        <w:t>E. 1.1</w:t>
      </w:r>
    </w:p>
    <w:p>
      <w:r>
        <w:t>Das Bundesgericht prüft seine Zuständigkeit und die (weiteren) Eintretensvoraussetzungen von Amtes wegen und mit freier Kognition ( Art. 29 Abs. 1 BGG ; BGE 145 V 57 E. 1; 141 V 206 E. 1.1; je mit Hinweisen).</w:t>
      </w:r>
    </w:p>
    <w:p>
      <w:r>
        <w:rPr>
          <w:b/>
        </w:rPr>
        <w:t>E. 1.2</w:t>
      </w:r>
    </w:p>
    <w:p>
      <w:r>
        <w:t>Ein Rechtsmittel hat gemäss Art. 42 Abs. 1 und 2 BGG unter anderem die Begehren und deren Begründung zu enthalten, wobei in der Begründung in gedrängter Form darzulegen ist, inwiefern der angefochtene Akt Recht verletzt. Dabei ist konkret auf die für das Ergebnis des angefochtenen Entscheids massgeblichen Erwägungen der Vorinstanz einzugehen und im Einzelnen aufzuzeigen, welche Vorschriften und weshalb sie von der Vorinstanz verletzt worden sind ( BGE 140 III 264 E. 2.3; 134 V 53 E. 3.3 und 133 IV 286 E. 1.4). Soweit die Beschwerdeführerin im Eventualpunkt eine Leistungspflicht gegenüber der BVG-Stiftung der C.________ und der Personalvorsorgestiftung der C.________ geltend macht, begründet sie dies nicht. Auf diesen Antrag ist daher nicht einzutreten ( Art. 108 Abs. 1 lit. b BGG ).</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3.1</w:t>
      </w:r>
    </w:p>
    <w:p>
      <w:r>
        <w:t>Streitig und zu prüfen ist, ob Bundesrecht verletzt wurde, indem die Vorinstanz eine Leistungspflicht der B.________ verneint hat.</w:t>
      </w:r>
    </w:p>
    <w:p>
      <w:r>
        <w:rPr>
          <w:b/>
        </w:rPr>
        <w:t>E. 3.2.1</w:t>
      </w:r>
    </w:p>
    <w:p>
      <w:r>
        <w:t>Die für die Beurteilung der Streitsache massgeblichen rechtlichen Grundlagen wurden im angefochtenen Entscheid zutreffend wiedergegeben. Darauf wird verwiesen ( Art. 109 Abs. 3 Satz 2 BGG ).</w:t>
      </w:r>
    </w:p>
    <w:p>
      <w:r>
        <w:rPr>
          <w:b/>
        </w:rPr>
        <w:t>E. 3.2.2</w:t>
      </w:r>
    </w:p>
    <w:p>
      <w:r>
        <w:t>Zu ergänzen ist Folgendes: Als Tatfrage ist die konkrete Beweiswürdigung eines kantonalen Gerichts vor Bundesgericht lediglich einer eingeschränkten Überprüfung zugänglich (vgl. Urteil 9C_463/2020 vom 17. Dezember 2020 E. 2.2). Eine Beweiswürdigung ist nicht bereits dann offensichtlich unrichtig, d.h. willkürlich (zum Begriff der Willkür: BGE 144 II 281 E. 3.6.2), wenn eine andere Lösung ebenfalls vertretbar erscheint oder gar vorzuziehen wäre, sondern erst dann, wenn der Entscheid - im Ergebnis - offensichtlich unhaltbar ist, zur tatsächlichen Situation in klarem Widerspruch steht oder auf einem offenkundigen Fehler beruht ( BGE 144 V 50 E. 4.2; 141 V 385 E. 4.1).</w:t>
      </w:r>
    </w:p>
    <w:p>
      <w:r>
        <w:rPr>
          <w:b/>
        </w:rPr>
        <w:t>E. 4.1</w:t>
      </w:r>
    </w:p>
    <w:p>
      <w:r>
        <w:t>Das kantonale Gericht hat eine Leistungspflicht der B.________ mit der Begründung verneint, der Eintritt der Arbeitsunfähigkeit, deren Ursache schliesslich zur Invalidität mit Berentung ab 1. Oktober 2007 geführt habe, sei auf Oktober 2006 zu legen. Somit sei die Arbeitsunfähigkeit zu einem Zeitpunkt eingetreten, als die Beschwerdeführerin nicht mehr bei der B.________ versichert gewesen sei. Mit Blick hierauf könne die B.________ auch für die nachträgliche "Erhöhung der Invalidität" gemäss Verfügung der IV vom 14. Juni 2016 (recte: 3. Juli 2017) nicht belangt werden.</w:t>
      </w:r>
    </w:p>
    <w:p>
      <w:r>
        <w:rPr>
          <w:b/>
        </w:rPr>
        <w:t>E. 4.2</w:t>
      </w:r>
    </w:p>
    <w:p>
      <w:r>
        <w:t>Die Einwendungen der Beschwerdeführerin lassen - soweit sie nicht ohnehin unzulässiger rein appellatorischer Natur sind (vgl. BGE 144 V 50 E. 4.2 mit Hinweisen) - die Beweiswürdigung des kantonalen Gerichts und die diesbezüglichen Feststellungen weder offensichtlich unrichtig noch als Ergebnis einer Rechtsverletzung erscheinen (vgl. E. 2 und 3.2.2 hiervor) :</w:t>
      </w:r>
    </w:p>
    <w:p>
      <w:r>
        <w:t>Vorweg ist festzuhalten, dass die Beschwerdeführerin aus der Anmeldung zum Leistungsbezug im September 2005 nichts hinsichtlich einer relevanten Arbeitsunfähigkeit ableiten kann. Dass sich die ab 2004 geltend gemachte Inkontinenz vor Oktober 2006 im Arbeitsverhältnis konkret nachteilig bemerkbar gemacht hätte, wird sodann nicht substanziiert, weshalb sich Weiterungen erübrigen.</w:t>
      </w:r>
    </w:p>
    <w:p>
      <w:r>
        <w:t>Entgegen der Ansicht der Beschwerdeführerin hat das kantonale Gericht weiter in freier Würdigung der medizinischen Aktenlage geprüft, wann die relevante Arbeitsunfähigkeit im Sinne von Art. 23 lit. a BVG eingetreten ist. Daran ändert nichts, dass es hinsichtlich der Beweiskraft des Gutachtens der Dres. med. E.________ und F.________ vom 13. Juli 2006 und der Zweifel an den Einschätzungen von Dr. med. I.________, Facharzt für Allgemeine Innere Medizin, seiner im Rahmen des IV-Verfahrens vorgenommenen Würdigung im Urteil vom 29. August 2007 (IV 2007 21) gefolgt ist. So hat es zur Begründung erwogen, man habe damals den Einschätzungen der Gutachter gegenüber den abweichenden Bewertungen der behandelnden Ärzte in Nachachtung der für die Beweiswürdigung massgeblichen Praxis den Vorzug gegeben. Dies wird nicht bestritten. Soweit sich die Beschwerdeführerin dennoch auf die Einschätzung von Dr. med. I.________ beruft, verkennt sie, dass eine mit Zweifeln behaftete medizinische Bewertung keine geeignete Grundlage für einen Leistungsanspruch bilden kann. Sollte die Beschwerdeführerin schliesslich geltend machen wollen, dass Dr. med. H.________ in seiner Expertise vom 13. November 2009 von einer am 7. Februar 2005 eingetretenen, mindestens 20%igen Arbeitsunfähigkeit ausgegangen ist, ist dies aktenwidrig (psychiatrisches Gutachten S. 12).</w:t>
      </w:r>
    </w:p>
    <w:p>
      <w:r>
        <w:t>Schliesslich dürfen neue Tatsachen nur soweit vorgebracht werden, als erst der Entscheid der Vorinstanz dazu Anlass gibt ( Art. 99 Abs. 1 BGG ). Beim Vorbringen, wonach die Beschwerdeführerin ab dem 7. Februar 2005 Krankentaggelder der Krankentaggeldversicherung im Umfang von mindestens 50 % erhalten haben soll, handelt es sich um eine neue Tatsache. Dass erst der vorinstanzliche Entscheid Anlass dazu gegeben hat, diese Tatsache vorzubringen, wird weder substanziiert, noch ist dies ersichtlich. Darauf ist daher nicht weiter einzugehen.</w:t>
      </w:r>
    </w:p>
    <w:p>
      <w:r>
        <w:rPr>
          <w:b/>
        </w:rPr>
        <w:t>E. 5.1</w:t>
      </w:r>
    </w:p>
    <w:p>
      <w:r>
        <w:t>Die Beschwerde ist offensichtlich unbegründet, weshalb sie im vereinfachten Verfahren nach Art. 109 Abs. 2 lit. a BGG ohne Durchführung eines Schriftenwechsels, mit summarischer Begründung und unter Hinweis auf die Erwägungen im angefochtenen Entscheid ( Art. 109 Abs. 3 BGG ) erledigt wird.</w:t>
      </w:r>
    </w:p>
    <w:p>
      <w:r>
        <w:rPr>
          <w:b/>
        </w:rPr>
        <w:t>E. 5.2</w:t>
      </w:r>
    </w:p>
    <w:p>
      <w:r>
        <w:t>Die unterliegende Beschwerdeführerin hat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