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623/2020 vom 8. März 2021</w:t>
      </w:r>
    </w:p>
    <w:p>
      <w:r>
        <w:t>Bundesgericht, 2021-03-08, DE</w:t>
      </w:r>
    </w:p>
    <w:p>
      <w:r>
        <w:rPr>
          <w:b/>
        </w:rPr>
        <w:t xml:space="preserve">Quelle: </w:t>
      </w:r>
      <w:r>
        <w:t>https://mcp.opencaselaw.ch/entscheid/bger_9C_623_2020</w:t>
      </w:r>
    </w:p>
    <w:p>
      <w:r>
        <w:t>FR: TF 9C 623/2020 du 8 mars 2021</w:t>
      </w:r>
    </w:p>
    <w:p>
      <w:r>
        <w:t>IT: TF 9C 623/2020 del 8 marzo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Versicherte hat gemäss Art. 17 Abs. 1 IVG Anspruch auf Umschulung auf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Urteil 8C_163/2008 vom 8. August 2008 E. 2.2). Der Umschulungsanspruch setzt grundsätzlich eine Mindesterwerbseinbusse von rund 20 % in den für die versicherte Person ohne zusätzliche Ausbildung offenstehenden, noch zumutbaren Erwerbstätigkeiten voraus ( BGE 130 V 488 E. 4.2 S. 489 f., 124 V 108 E. 3 S. 111). Davon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BGE 124 V 108 E. 3c S. 112; SVR 2011 IV Nr. 51 S. 152, 9C_704/2010 E. 3.1; Urteil 8C_808/2017 vom 11. Januar 2018 E. 3).</w:t>
      </w:r>
    </w:p>
    <w:p>
      <w:r>
        <w:rPr>
          <w:b/>
        </w:rPr>
        <w:t>E. 3.1</w:t>
      </w:r>
    </w:p>
    <w:p>
      <w:r>
        <w:t>Die Vorinstanz hat festgestellt, dem Versicherten sei die zuletzt ausgeübte Tätigkeit als Chauffeur nicht mehr zumutbar. Entsprechend dem Bericht über das Ergonomietrainingsprogramm des Rehazentrums B.________ vom 10. Februar 2020 bestehe seit diesem Zeitpunkt - abgesehen von einer temporären vollständigen Arbeitsunfähigkeit im Zusammenhang mit der am 12. Juni 2020 erfolgten Operation - eine uneingeschränkte Arbeitsfähigkeit für leidensangepasste Tätigkeiten (leichte bis mittelschwere, wechselbelastende Arbeiten, nur manchmal über Schulterhöhe und mit vorgeneigtem Stehen). Hinsichtlich der Invaliditätsbemessung hat sie festgestellt, der Versicherte habe seine 2009 begonnene Lehre zum Heizungs installateur mit eidgenössischem Fähigkeitszeugnis (EFZ) 2011 gesundheitsbedingt aufgegeben; dementsprechend betrage das Valideneinkommen Fr. 75'734.30. Das Invalideneinkommen hat sie auf Fr. 61'576.55 festgelegt. Beim resultierenden Invaliditätsgrad von 18,69 resp. (aufgerundet) 19 % hat sie den Anspruch auf Umschulung verneint.</w:t>
      </w:r>
    </w:p>
    <w:p>
      <w:r>
        <w:rPr>
          <w:b/>
        </w:rPr>
        <w:t>E. 3.2</w:t>
      </w:r>
    </w:p>
    <w:p>
      <w:r>
        <w:t>Der Beschwerdeführer macht im Wesentlichen geltend, angesichts seines Alters und der verbleibenden Aktivitätsdauer sei ihm Umschulung zu gewähren, obwohl der Invaliditätsgrad den Schwellenwert von 20 % (knapp) nicht erreiche. Die "qualitativ annähernde Gleichwertigkeit" der ihm (ohne berufliche Massnahme) offenstehenden unqualifizierten Hilfsarbeiten sei nicht mit der zuletzt ausgeübten Arbeit als Chauffeur, sondern mit der Tätigkeit eines gelernten Heizungsinstallateurs (mit EFZ) zu vergleichen. Diesbezüglich sei sie zu verneinen. Lediglich im Eventualstandpunkt macht der Beschwerdeführer grössere gesundheitliche Einschränkungen und folglich einen höheren Invaliditätsgrad ab Februar 2020 geltend. Somit ist (vorerst) zu prüfen, ob ein Umschulungsanspruch einzig aufgrund des vorinstanzlich festgesetzten Invaliditätsgrades ausser Betracht fällt.</w:t>
      </w:r>
    </w:p>
    <w:p>
      <w:r>
        <w:rPr>
          <w:b/>
        </w:rPr>
        <w:t>E. 4.1</w:t>
      </w:r>
    </w:p>
    <w:p>
      <w:r>
        <w:t>Der Schwellenwert von "rund" 20 % (vgl. obenstehende E. 2) ist als Richtschnur zu verstehen. Er rührt daher, dass die Leistungspflicht der Invalidenversicherung für Eingliederungsmassnahmen unter Berücksichtigung der gesamten tatsächlichen und rechtlichen Umstände des Einzelfalles in einem angemessenen Verhältnis zum angestrebten Eingliederungsziel stehen muss. Insbesondere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Wertes auf ca. 20 % trägt dem Umstand Rechnung, dass bei wesentlich tieferen Invaliditätsgraden die mit einer Umschulung verbundenen Kosten die auszugleichende Erwerbseinbusse regelmässig um ein Vielfaches übersteigen ( BGE 130 V 488 E. 4.3.2 S. 491). In concreto wird der Richtwert von ("rund") 20 % nur um gut einen Prozentpunkt unterschritten. Ob bereits deswegen ein Umschulungsanspruch nicht - von vornherein - hätte verneint werden dürfen, kann offenbleiben, wie sich aus dem Folgenden ergibt.</w:t>
      </w:r>
    </w:p>
    <w:p>
      <w:r>
        <w:rPr>
          <w:b/>
        </w:rPr>
        <w:t>E. 4.2</w:t>
      </w:r>
    </w:p>
    <w:p>
      <w:r>
        <w:t>Das Alter des Versicherten lässt gemäss Rechtsprechung (vgl. obenstehende E. 2 Abs. 2) eine Abweichung von der grundsätzlich vorausgesetzten Mindesterwerbseinbusse von 20 % zu. Mit der Festlegung des Valideneinkommens hat die Vorinstanz implizit, aber verbindlich (vgl. obenstehende E. 1) festgestellt, dass der Versicherte ohne gesundheitliche Einschränkung als Heizungsinstallateur (EFZ) arbeiten würde. Diese Tätigkeit kann im Vergleich zu - unter gesundheitlichen Aspekten noch zumutbaren - unqualifizierten Hilfsarbeiten qualitativ nicht als annähernd gleichwertig betrachtet werden, zumal auch den unterschiedlichen Möglichkeiten der Einkommensentwicklung Rechnung zu tragen ist (vgl. BGE 124 V 108 E. 3b S. 112). Zwar verfügt der Beschwerdeführer (laut verbindlicher Feststellung im angefochtenen Entscheid) über keine abgeschlossene Berufsausbildung. Weshalb dieser Umstand dem Heranziehen der als "angestammt" qualifizierten Tätigkeit als Vergleichsbasis entgegenstehen soll, wie die Vorinstanz anzunehmen scheint, leuchtet nicht ein: Die Ausbildung wurde (gemäss ebenfalls verbindlicher Feststellung) aus gesundheitlichen Gründen abgebrochen.</w:t>
      </w:r>
    </w:p>
    <w:p>
      <w:r>
        <w:rPr>
          <w:b/>
        </w:rPr>
        <w:t>E. 4.3</w:t>
      </w:r>
    </w:p>
    <w:p>
      <w:r>
        <w:t>Nach dem Gesagten hat die Vorinstanz Recht verletzt, indem sie einen Umschulungsanspruch einzig aufgrund eines zu geringen Invaliditätsgrads bereits im Grundsatz verneint hat. Bisher waren weder konkrete Massnahmen noch die (weiteren) anspruchsspezifischen Voraussetzungen geprüft worden. Die IV-Stelle wird dies nachzuholen haben. Dabei steht angesichts der nicht abgeschlossenen Berufsausbildung auch eine Leistungszusprache unter dem Titel der erstmaligen beruflichen Ausbildung im Raum (vgl. Urteil 9C_583/2020 vom 11. Januar 2021 E. 2.2 und 4.3). Die Beschwerde ist begründet. Weiterungen hinsichtlich der Vorbringen zum Eventualstandpunkt erübrigen sich.</w:t>
      </w:r>
    </w:p>
    <w:p>
      <w:r>
        <w:rPr>
          <w:b/>
        </w:rPr>
        <w:t>E. 5</w:t>
      </w:r>
    </w:p>
    <w:p>
      <w:r>
        <w:t>Dem Prozessausgang entsprechend hat die Beschwerdegegnerin die Gerichtskosten zu tragen (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