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9C_620/2012 vom 16. Oktober 2012</w:t>
      </w:r>
    </w:p>
    <w:p>
      <w:r>
        <w:t>Bundesgericht, 2012-10-16, FR</w:t>
      </w:r>
    </w:p>
    <w:p>
      <w:r>
        <w:rPr>
          <w:b/>
        </w:rPr>
        <w:t xml:space="preserve">Quelle: </w:t>
      </w:r>
      <w:r>
        <w:t>https://mcp.opencaselaw.ch/entscheid/bger_9C_620_2012</w:t>
      </w:r>
    </w:p>
    <w:p>
      <w:r>
        <w:t>FR: TF 9C_620/2012 du 16 octobre 2012</w:t>
      </w:r>
    </w:p>
    <w:p>
      <w:r>
        <w:t>IT: TF 9C_620/2012 del 16 ottobre 2012</w:t>
      </w:r>
    </w:p>
    <w:p>
      <w:pPr>
        <w:pStyle w:val="Heading2"/>
      </w:pPr>
      <w:r>
        <w:t>Erwägungen</w:t>
      </w:r>
    </w:p>
    <w:p>
      <w:r>
        <w:rPr>
          <w:b/>
        </w:rPr>
        <w:t>E. 1</w:t>
      </w:r>
    </w:p>
    <w:p>
      <w:r>
        <w:t>Le Tribunal fédéral examine d'office les conditions formelles de validité et de régularité de la procédure précédente. Il lui appartient notamment d'examiner la question de savoir si l'autorité de première instance est à juste titre entrée en matière sur le recours dont elle était saisie. Lorsque l'autorité de première instance a ignoré qu'une des conditions de recevabilité du recours faisait défaut et statué sur le fond, il s'agit d'un fait dont il y a lieu de tenir compte d'office, avec pour conséquence l'annulation du jugement attaqué ( ATF 132 V 93 consid. 1.2 p. 95 et la référence; ULRICH MEYER/JOHANNA DORMANN, in Basler Kommentar zum Bundesgerichtsgesetz, 2ème éd. 2011, n° 8 ad art. 106).</w:t>
      </w:r>
    </w:p>
    <w:p>
      <w:r>
        <w:rPr>
          <w:b/>
        </w:rPr>
        <w:t>E. 2</w:t>
      </w:r>
    </w:p>
    <w:p>
      <w:r>
        <w:t>En l'espèce, le bien-fondé de la rente de l'assurance-invalidité allouée à l'assuré n'a à aucun moment été contesté. L'objet de la seule question déférée par le recourant à la juridiction cantonale et examinée par celle-ci concernait la survenance de l'incapacité de travail à l'origine de l'invalidité (au sens de l' art. 23 LPP ) et, indirectement, le point de savoir s'il était tenu à prestations. L'objet du litige pose indirectement la question de la qualité pour recourir devant le tribunal cantonal des assurances d'une institution de prévoyance professionnelle dans le cadre d'une procédure en matière d'assurance-invalidité, lorsque la contestation ne porte pas sur le droit à la rente tel qu'il a été fixé par les organes de l'assurance-invalidité, mais uniquement sur la question - propre au domaine de la prévoyance professionnelle - de la survenance de l'incapacité de travail à l'origine de l'invalidité (au sens de l' art. 23 LPP ).</w:t>
      </w:r>
    </w:p>
    <w:p>
      <w:r>
        <w:rPr>
          <w:b/>
        </w:rPr>
        <w:t>E. 2.1</w:t>
      </w:r>
    </w:p>
    <w:p>
      <w:r>
        <w:t>Le droit fédéral reconnaît, à certaines conditions, la qualité pour recourir d'un assureur tiers, lorsque la décision d'un assureur touche l'obligation d'un autre assureur d'allouer des prestations. D'après l' art. 49 al. 4 LPGA , l'assureur qui rend une décision touchant l'obligation d'un autre assureur d'allouer des prestations est ainsi tenu de lui en communiquer un exemplaire. Cet autre assureur dispose alors des mêmes voies de droit que l'assuré (voir également l' art. 57a al. 2 LAI ).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 ATF 132 V 74 consid. 3.1 p. 77).</w:t>
      </w:r>
    </w:p>
    <w:p>
      <w:r>
        <w:rPr>
          <w:b/>
        </w:rPr>
        <w:t>E. 2.2</w:t>
      </w:r>
    </w:p>
    <w:p>
      <w:r>
        <w:t>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 ATF 133 V 67 consid. 4.3.2 p. 69; 132 V 1 consid. 3.2 p. 4).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la cadre de la procédure de préavis ( art. 57a al. 2 LAI ) que pour former un recours contre une décision des organes de l'assurance-invalidité ( art. 49 al. 4 et 59 LPGA ) qui statue sur le droit à la rente ou fixe le degré d'invalidité de la personne assurée; pour les mêmes raisons, il convient de leur reconnaître qualité pour interjeter un recours en matière de droit public contre une décision d'un tribunal cantonal des assurances en la matière ( ATF 132 V 1 consid. 3.3.1 p. 5).</w:t>
      </w:r>
    </w:p>
    <w:p>
      <w:r>
        <w:rPr>
          <w:b/>
        </w:rPr>
        <w:t>E. 2.3</w:t>
      </w:r>
    </w:p>
    <w:p>
      <w:r>
        <w:t>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 B 50/99 du 14 août 2000 consid. 2b).</w:t>
      </w:r>
    </w:p>
    <w:p>
      <w:r>
        <w:rPr>
          <w:b/>
        </w:rPr>
        <w:t>E. 2.4</w:t>
      </w:r>
    </w:p>
    <w:p>
      <w:r>
        <w:t>En vertu de l' art. 29 al.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 art. 28 al. 1 let. b LAI ),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(voir également les arrêts 9C_414/2007 du 25 juillet 2008 consid. 2.4, I 349/05 du 21 avril 2006 consid. 2.3 et I 204/04 du 16 septembre 2004).</w:t>
      </w:r>
    </w:p>
    <w:p>
      <w:r>
        <w:rPr>
          <w:b/>
        </w:rPr>
        <w:t>E. 2.5</w:t>
      </w:r>
    </w:p>
    <w:p>
      <w:r>
        <w:t>D'après le dispositif de la décision du 1er septembre 2011 de l'assurance-invalidité, qui seul lie les parties à la procédure, l'assuré a droit à une rente entière d'invalidité à compter du 1er mai 2010. Sous partie intitulée " Résultat de nos constatations ", la décision contient néanmoins la constatation que le délai de carence de l' art. 28 al. 1 let. b LAI a commencé à courir le 29 février 2008. Dans la mesure où cette date ne jouait aucun rôle pour fixer la naissance du droit à la rente de l'assurance-invalidité de l'assuré (puisque celle-ci a été déterminée uniquement sur la base de l' art. 29 al. 1 LAI ), elle n'avait aucun caractère contraignant pour les organes de la prévoyance professionnelle. Faute d'intérêt juridiquement protégé à l'annulation ou à la modification de la décision attaquée, le recourant ne disposait par conséquent pas de la qualité pour recourir contre cette décision.</w:t>
      </w:r>
    </w:p>
    <w:p>
      <w:r>
        <w:rPr>
          <w:b/>
        </w:rPr>
        <w:t>E. 2.6</w:t>
      </w:r>
    </w:p>
    <w:p>
      <w:r>
        <w:t>De fait, l'autorité de première instance aurait normalement dû, au regard des griefs soulevés devant elle, ne pas entrer en matière sur le recours formé par le recourant. Il convient par conséquent de corriger d'office cette erreur et d'annuler le jugement attaqué. Pour les mêmes motifs, il n'y a pas lieu d'entrer en matière sur le recours en matière de droit public qu'il a interjeté pour ce qui est de la question de droit matériel.</w:t>
      </w:r>
    </w:p>
    <w:p>
      <w:r>
        <w:rPr>
          <w:b/>
        </w:rPr>
        <w:t>E. 3</w:t>
      </w:r>
    </w:p>
    <w:p>
      <w:r>
        <w:t>Le recourant, qui succombe, supportera les frais judiciaires afférents à la présente procédure (art. 66 al. 1, 1ère phrase, LTF). Le présent arrêt rend par ailleurs sans objet la requête d'effet suspensif déposée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