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9C_61/2022 vom 23. März 2022</w:t>
      </w:r>
    </w:p>
    <w:p>
      <w:r>
        <w:t>Bundesgericht, 2022-03-23, DE</w:t>
      </w:r>
    </w:p>
    <w:p>
      <w:r>
        <w:rPr>
          <w:b/>
        </w:rPr>
        <w:t xml:space="preserve">Quelle: </w:t>
      </w:r>
      <w:r>
        <w:t>https://mcp.opencaselaw.ch/entscheid/bger_9C_61_2022</w:t>
      </w:r>
    </w:p>
    <w:p>
      <w:r>
        <w:t>FR: TF 9C_61/2022 du 23 mars 2022</w:t>
      </w:r>
    </w:p>
    <w:p>
      <w:r>
        <w:t>IT: TF 9C_61/2022 del 23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9C_61/2022</w:t>
      </w:r>
    </w:p>
    <w:p>
      <w:r>
        <w:t>Urteil vom 23. März 2022</w:t>
      </w:r>
    </w:p>
    <w:p>
      <w:r>
        <w:t>II. sozialrechtliche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vertreten durch Rechtsanwalt Visar Keraj,</w:t>
      </w:r>
    </w:p>
    <w:p>
      <w:r>
        <w:t>Beschwerdeführer,</w:t>
      </w:r>
    </w:p>
    <w:p>
      <w:r>
        <w:t>gegen</w:t>
      </w:r>
    </w:p>
    <w:p>
      <w:r>
        <w:t>GastroSocial Ausgleichskasse,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Versicherungsgerichts des Kantons St. Gallen vom 15. Dezember 2021 (AHV 2021/2).</w:t>
      </w:r>
    </w:p>
    <w:p>
      <w:r>
        <w:t>Nach Einsicht</w:t>
      </w:r>
    </w:p>
    <w:p>
      <w:r>
        <w:t>in die Verfügung der GastroSocial Ausgleichskasse vom 15. Oktober 2020 (gemäss postamtlicher Bescheinigung zugestellt am 16. Oktober 2020), mit dem diese A.________ verpflichtete, ihr Fr. 24'310.30 als Schadenersatz im Sinne von Art. 52 AHVG zu bezahlen,</w:t>
      </w:r>
    </w:p>
    <w:p>
      <w:r>
        <w:t>in den Einspracheentscheid vom 11. Dezember 2020, mit dem die Ausgleichskasse ein Gesuch des A.________ um Wiederherstellung der Einsprachefrist abwies und auf dessen Einsprache vom 28. November 2020 wegen Verspätung nicht eintrat,</w:t>
      </w:r>
    </w:p>
    <w:p>
      <w:r>
        <w:t>in den Entscheid des Versicherungsgerichts des Kantons St. Gallen vom 15. Dezember 2021 (gemäss postamtlicher Bescheinigung zugestellt am 21. Dezember 2021), mit dem es die Beschwerde des A.________ abwies,</w:t>
      </w:r>
    </w:p>
    <w:p>
      <w:r>
        <w:t>in die dagegen erhobene Beschwerde vom 1. Februar 2022 (Poststempel) und das Gesuch um aufschiebende Wirkung,</w:t>
      </w:r>
    </w:p>
    <w:p>
      <w:r>
        <w:t>in Erwägung,</w:t>
      </w:r>
    </w:p>
    <w:p>
      <w:r>
        <w:t>dass sowohl der Einspracheentscheid vom 11. Dezember 2020 als auch der hier angefochtene Entscheid die Arbeitgeberhaftung gemäss Art. 52 AHVG betreffen, weshalb nach der Rechtsprechung ( BGE 137 V 51 ) die Beschwerde in öffentlich-rechtlichen Angelegenheiten im Sinne von Art. 82 ff. BGG nur zulässig ist, wenn der Streitwert mindestens Fr. 30'000.- beträgt ( Art. 85 Abs. 1 lit. a BGG ) oder sich eine Rechtsfrage von grundsätzlicher Bedeutung stellt ( Art. 85 Abs. 2 BGG ),</w:t>
      </w:r>
    </w:p>
    <w:p>
      <w:r>
        <w:t>dass im hier zu beurteilenden Fall keine dieser Voraussetzungen erfüllt ist, weil der Streitwert mit Fr. 24'310.30 die erforderliche Grenze nicht erreicht und weder ersichtlich ist noch dargelegt wird ( Art. 42 Abs. 1 und 2 BGG ), dass sich eine Rechtsfrage von grundsätzlicher Bedeutung stellt,</w:t>
      </w:r>
    </w:p>
    <w:p>
      <w:r>
        <w:t>dass die Beschwerde in öffentlich-rechtlichen Angelegenheiten demnach unzulässig ist,</w:t>
      </w:r>
    </w:p>
    <w:p>
      <w:r>
        <w:t>dass deshalb nur die subsidiäre Verfassungsbeschwerde ( Art. 113 ff. BGG ) in Frage kommt, wobei einzig die Verletzung verfassungsmässiger Rechte gerügt werden kann ( Art. 116 BGG ) und das Bundesgericht solche Verletzungen lediglich insofern prüft, als eine entsprechende Rüge in der Beschwerde rechtsgenügend vorgebracht, klar erhoben und belegt worden ist (Art. 106 Abs. 2 i.V.m. Art. 117 BGG ; BGE 138 I 232 E. 3 ; 134 I 83 E. 3.2),</w:t>
      </w:r>
    </w:p>
    <w:p>
      <w:r>
        <w:t>dass sich der Beschwerdeführer zwar auf verfassungsmässige Rechte ( Art. 29 Abs. 1 und 2 BV ) beruft, sich dabei aber darauf beschränkt, seine eigene Sicht des Sachverhalts darzulegen ohne substanziiert auszuführen, weshalb der vorinstanzliche Verzicht auf weitere Abklärungen nicht in verfassungskonformer antizipierender Beweiswürdigung (vgl. BGE 144 V 361 E. 6.5 ; 136 I 229 E. 5.3 ; 134 I 140 E. 5.3) erfolgt oder die Verweigerung der Fristwiederherstellung überspitzt formalistisch sein soll,</w:t>
      </w:r>
    </w:p>
    <w:p>
      <w:r>
        <w:t>dass die Eingabe vom 1. Februar 2022 somit den inhaltlichen Mindestanforderungen an eine Verfassungsbeschwerde offensichtlich nicht genügt,</w:t>
      </w:r>
    </w:p>
    <w:p>
      <w:r>
        <w:t>dass deshalb im vereinfachten Verfahren nach Art. 108 Abs. 1 lit. a bzw. Art. 117 in Verbindung mit Art. 108 Abs. 1 lit. b BGG , je in Verbindung mit Art. 108 Abs. 2 BGG , auf die Beschwerde nicht einzutreten ist,</w:t>
      </w:r>
    </w:p>
    <w:p>
      <w:r>
        <w:t>dass mit diesem Urteil das Gesuch um aufschiebende Wirkung gegenstandslos wird,</w:t>
      </w:r>
    </w:p>
    <w:p>
      <w:r>
        <w:t>dass der Beschwerdeführer grundsätzlich kostenpflichtig wird, indessen umständehalber auf die Erhebung von Gerichtskosten verzichtet werden kann ( Art. 66 Abs. 1 BGG ),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23. März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