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9C_617/2014 vom 11. März 2015</w:t>
      </w:r>
    </w:p>
    <w:p>
      <w:r>
        <w:t>Bundesgericht, 2015-03-11, DE</w:t>
      </w:r>
    </w:p>
    <w:p>
      <w:r>
        <w:rPr>
          <w:b/>
        </w:rPr>
        <w:t xml:space="preserve">Quelle: </w:t>
      </w:r>
      <w:r>
        <w:t>https://mcp.opencaselaw.ch/entscheid/bger_9C_617_2014</w:t>
      </w:r>
    </w:p>
    <w:p>
      <w:r>
        <w:t>FR: TF 9C_617/2014 du 11 mars 2015</w:t>
      </w:r>
    </w:p>
    <w:p>
      <w:r>
        <w:t>IT: TF 9C_617/2014 del 11 marzo 2015</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Nichterwerbstätige bezahlen je nach ihren sozialen Verhältnissen einen Beitrag von bis zu Fr. 10'300.- pro Jahr (Art. 10 Abs. 1 erster Satz AHVG, Art. 3 Abs. 1bis IVG , Art. 27 Abs. 2 vierter Satz EOG; je in der hier anwendbaren, bis 31. Dezember 2011 gültig gewesenen Fassung). Über die Beitragsbemessung hat der Bundesrat gestützt auf Abs. 3 von Art. 10 AHVG nähere Vorschriften erlassen: Die Beiträge der Nichterwerbstätigen, welche - wie vorliegend - mehr als den jährlichen Mindestbeitrag zu entrichten haben, werden aufgrund des Vermögens und Renteneinkommens nach der in Abs. 1 von Art. 28 AHVV enthaltenen Tabelle berechnet, wobei das jährliche Renteneinkommen mit 20 multipliziert wird. Verfügt ein Nichterwerbstätiger gleichzeitig über Vermögen und Renteneinkommen, so wird der mit 20 multiplizierte jährliche Rentenbetrag zum Vermögen hinzugerechnet (Abs. 2). Für die Berechnung des Beitrages ist das Vermögen einschliesslich des mit 20 multiplizierten jährlichen Rentenbetrages auf die nächsten 50'000 Franken abzurunden (Abs. 3). Ist eine verheiratete Person als Nichterwerbstätige beitragspflichtig, so bemessen sich ihre Beiträge aufgrund der Hälfte des ehelichen Vermögens und Renteneinkommens (Abs. 4).</w:t>
      </w:r>
    </w:p>
    <w:p>
      <w:r>
        <w:rPr>
          <w:b/>
        </w:rPr>
        <w:t>E. 3</w:t>
      </w:r>
    </w:p>
    <w:p>
      <w:r>
        <w:t>Im Streit liegt die Höhe des massgebenden Vermögens und hierbei einzig die Festsetzung des kapitalisierten Renteneinkommens.</w:t>
      </w:r>
    </w:p>
    <w:p>
      <w:r>
        <w:rPr>
          <w:b/>
        </w:rPr>
        <w:t>E. 3.1</w:t>
      </w:r>
    </w:p>
    <w:p>
      <w:r>
        <w:t>Zum einen rügt der Beschwerdeführer die Kapitalisierung der ihm von 1. Januar 2008 bis Ende Januar 2013 (Erreichen des ordentlichen AHV-Rentenalters) ausgerichteten Überbrückungsrente seiner Pensionskasse von jährlich Fr. 26'520.-. Er stellt zwar die in ZAK 1988 S. 169 wiedergegebene Rechtsprechung (betreffend eine von der beruflichen Vorsorgeeinrichtung bis zum AHV-Rentenalter ausgerichtete "AHV-Vorauszahlung"), wonach solche Leistungen als Renteneinkommen zu qualifizieren sind, explizit nicht in Frage. Hingegen hält er die Multiplikation der Überbrückungsrente mit dem Faktor 20 - welcher im Falle von lebenslänglichen Renten zwar sachgerecht sei, nicht jedoch im Falle temporärer Renten - für willkürlich und mit dem "Prinzip der Äquivalenz der Rente und des dafür angerechneten Vermögenswerts" nicht vereinbar. Auch moniert er, der Maximalwert der Überbrückungsrente hätte von den Spezialisten der Ausgleichskasse ohne Weiteres festgestellt werden können.</w:t>
      </w:r>
    </w:p>
    <w:p>
      <w:r>
        <w:t>Wie der Beschwerdeführer zu Recht anerkennt, ist die von der beruflichen Vorsorgeeinrichtung bis zum Erreichen des ordentlichen AHV-Rentenalters erbrachte Überbrückungsrente praxisgemäss als massgebendes Renteneinkommen zu qualifizieren (Urteil H 117/89 vom 12. Oktober 1989 E. 3 mit Hinweisen). Damit im Widerspruch steht indes sein Vorbringen, die Überbrückungsrente sei gleich zu behandeln wie eine temporäre Leibrente, deren Vermögenswert bezifferbar ist, denn in einem solchen Fall läge gerade</w:t>
      </w:r>
    </w:p>
    <w:p>
      <w:r>
        <w:t>kein Renteneinkommen im Sinne der Rechtsprechung vor (Urteil H 160/05 vom 2. Februar 2006 E. 4.1 mit Hinweisen; vgl. auch Rz. 2089 neuntes Lemma e contrario der Wegleitung des BSV über die Beiträge der Selbständigerwerbenden und Nichterwerbstätigen in der AHV, IV und EO [WSN] in der ab 1. Januar 2013 gültigen Fassung). Bei Renteneinkommen erübrigt sich die vom Beschwerdeführer anbegehrte, genaue Berechnung des Maximalwerts jedoch von vornherein: Wie das BSV in seiner Stellungnahme zutreffend darlegt, ermöglicht die Regelung von Art. 28 AHVV der Massenverwaltung ein pauschales, durchführungstechnisch einfach zu bewältigendes Verfahren, bei welchem auf eine versicherungsmathematisch korrekte Umrechnung von Rentenleistungen in Vermögen verzichtet wird. Das Bundesgericht hat diese Regelung in ständiger Rechtsprechung als verfassungs- und gesetzeskonform erachtet ( BGE 127 V 65 E. 3a S. 67; 125 V 230 E. 3a S. 233 f.; BGE 120 V 163 E. 2 i.f. S. 166; 105 V 241 E. 2 S. 243; Urteil H 29/06 vom 6. Februar 2007 E. 5.2, in: SVR 2007 AHV Nr. 16 S. 45). Auch hat es sich bereits mit dem vom Beschwerdeführer erhobenen Einwand, die Kapitalisierung könne nur bei einer lebenslänglichen Rente und nicht bei einer Zeitrente vorgenommen werden, auseinandergesetzt und diesen verworfen ( BGE 120 V 163 E. 4c S. 169). Auf diese Rechtsprechung kann verwiesen werden, ohne dass näher zu prüfen wäre, ob der Beschwerdeführer hinsichtlich der geltend gemachten Grundrechtsverletzung den Anforderungen der qualifizierten Rügepflicht gemäss Art. 106 Abs. 2 BGG genügt.</w:t>
      </w:r>
    </w:p>
    <w:p>
      <w:r>
        <w:rPr>
          <w:b/>
        </w:rPr>
        <w:t>E. 3.2.1</w:t>
      </w:r>
    </w:p>
    <w:p>
      <w:r>
        <w:t>Zum anderen macht der Beschwerdeführer sinngemäss geltend, Beschwerdegegnerin und Vorinstanz hätten Art. 10 Abs. 1 AHVG i.V.m. Art. 28 Abs. 1 AHVV verletzt, indem sie davon ausgegangen seien, er habe im Jahr 2010 ein Renteneinkommen von Fr. 102'054.- statt Fr. 94'370.- erzielt. Bei dem die Differenz ausmachenden Betrag von Fr. 7'684.- handle es sich um eine</w:t>
      </w:r>
    </w:p>
    <w:p>
      <w:r>
        <w:t>einmalige Auszahlung freier Stiftungsmittel, welche - da es sich nicht um eine wiederkehrende Leistung handle - nicht als Renteneinkommen zu qualifizieren sei. Vielmehr habe diese Leistung das massgebende Vermögen erhöht und sei dadurch bei der Beitragsbemessung erfasst worden.</w:t>
      </w:r>
    </w:p>
    <w:p>
      <w:r>
        <w:t>Dagegen verweisen Vorinstanz und Beschwerdegegnerin auf die ständige Rechtsprechung des Bundesgerichts, wonach der Begriff des Renteneinkommens im weitesten Sinne zu verstehen ist ( BGE 125 V 230 E. 3b S. 234; 120 V 163 E. 4a S. 167; Urteil 9C_117/2014 vom 28. Juli 2014 E. 3.2; je mit Hinweisen). Entscheidend sei daher nicht, ob die Leistungen mehr oder weniger die Merkmale einer Rente aufwiesen, sondern ob die Leistungen zum Unterhalt der versicherten Person beitrügen, d.h. ob es sich um Einkommensbestandteile handle, welche die sozialen Verhältnisse der nichterwerbstätigen Person beeinflussten. Dies sei hier der Fall, womit die Qualifikation als Renteneinkommen nicht zu beanstanden sei.</w:t>
      </w:r>
    </w:p>
    <w:p>
      <w:r>
        <w:rPr>
          <w:b/>
        </w:rPr>
        <w:t>E. 3.2.2</w:t>
      </w:r>
    </w:p>
    <w:p>
      <w:r>
        <w:t>Vorinstanz und Beschwerdegegnerin ist insoweit beizupflichten, als die Rechtsprechung im Kontext der Beitragsbemessung der Nichterwerbstätigen mehr als die Einkünfte, die gemeinhin als "Renteneinkommen" bezeichnet werden, unter diesen Begriff subsumiert. Nichtsdestotrotz muss es sich bei den Einkünften, wenn auch im weitesten Sinne (vgl. E. 3.2.1 Absatz 2 hievor), um Renteneinkommen handeln. Bereits der Begriff der Rente bzw. derjenige des Einkommens geht von einer</w:t>
      </w:r>
    </w:p>
    <w:p>
      <w:r>
        <w:t>Regelmässigkeit (und nicht von einer Einmaligkeit) der Leistung aus (vgl. Duden, Das Bedeutungswörterbuch, Bd. 10, 4. Aufl. 2010, S. 307 und 761). In diesem Sinne sind nach der Lehre sämtliche</w:t>
      </w:r>
    </w:p>
    <w:p>
      <w:r>
        <w:t>wiederkehrenden Leistungen (revenus</w:t>
      </w:r>
    </w:p>
    <w:p>
      <w:r>
        <w:t>périodiques ), die die sozialen Verhältnisse des Nichterwerbstätigen beeinflussen und die weder durch eine Erwerbstätigkeit erzielt werden, noch einen Vermögensertrag darstellen, Renteneinkommen (Franziska Grob, Die Beiträge der Nichterwerbstätigen in der AHV, in: AHV-Beitragsrecht, Schaffhauser/Kieser [Hrsg.], 2011, S. 85; Grob/Kleinlogel, Die Beiträge der Nichterwerbstätigen in der AHV, der IV und der EO, in: CHSS 2008 S. 117; Pierre-Yves Greber, in: Greber/Duc/Scartazzini, Commentaire des articles 1 à 16 de la loi fédérale sur l'assurance-vieillesse et survivants [LAVS], N 27 zu Art. 10 LAVS; Michel Valterio, Droit de l'assurance-veillesse et survivants [AVS] et de l'assurance-invalidité [AI], 2011, S. 159 Rz. 517). Dass es sich beim Renteneinkommen um wiederkehrende Leistungen handeln muss, hält die WSN in Rz. 2087 ausdrücklich fest. Nichts anderes ergibt sich aus Rz. 2088 WSN, wonach auch unregelmässig (aber damit ebenfalls: mehr als einmalig) erbrachte Leistungen zum Renteneinkommen zählen. Im Einklang damit hat die Rechtsprechung u.a. Renten, Taggelder, den Mietwert einer unentgeltlich zur Verfügung gestellten Wohnung, regelmässig erbrachte Zuwendungen von Dritten und andere periodische Leistungen als Renteneinkommen qualifiziert (vgl. Ueli Kieser, Rechtsprechung des Bundesgerichts zum Sozialversicherungsrecht, Alters- und Hinterlassenenversicherung, 3. Aufl. 2012, Rz. 32 zu Art. 10 AHVG ; Michel Valterio, a.a.O., S. 159 Rz. 518; vgl. auch Rz. 2089 WSN). Lehre und Rechtsprechung gehen davon aus, dass durch die in Art. 28 Abs. 2 AHVV vorgesehene Umrechnung des Renteneinkommens ein Vermögen berechnet werden soll, das einen jährlichen Ertrag in der Höhe des Renteneinkommens abwirft, dass also ein fiktiv hinter der Rente stehendes Deckungskapital zu ermitteln ist (Franziska Grob, a.a.O., S. 91 mit Hinweis auf BGE 120 V 163 E. 4c S. 168 und Hanspeter Käser, Unterstellung und Beitragswesen in der obligatorischen AHV, 1996, S. 235).</w:t>
      </w:r>
    </w:p>
    <w:p>
      <w:r>
        <w:t>Vorliegend ist unbestritten und aktenmässig erstellt (vgl. Rentenmeldung der Pensionskasse B.________ vom 25. Oktober 2010), dass die fragliche Leistung - es handelt sich um eine Barauszahlung freier Mittel aufgrund der Fusion der Ergänzungskasse der B.________ und der Pensionskasse der B.________ - in der Höhe von Fr. 7'684.-</w:t>
      </w:r>
    </w:p>
    <w:p>
      <w:r>
        <w:t>einmalig erfolgte. Dies schliesst nach dem hievor Dargelegten - namentlich wäre es bei einer einmaligen Leistung sinnwidrig, ein (fiktiv) dahinter stehendes Deckungskapital zu ermitteln (vgl. E. 3.2.2 erster Absatz i.f.) - die Qualifikation als Renteneinkommen aus. Daran ändert im Übrigen der Umstand nichts, dass die Steuerverwaltung Basel-Landschaft in der Veranlagungsverfügung vom 21. Februar 2013 - auch was den fraglichen Betrag betrifft - von Renteneinkommen ausgegangen ist: Der Begriff des Renteneinkommens gemäss Art. 28 AHVV ist unabhängig vom Begriff der Rente oder des Einkommens im Sinne des Steuerrechts (Urteile H 233/01 vom 4. Februar 2002 E. 2d; H 186/91 vom 2. Juni 1992 E. 4c mit Hinweisen; vgl. auch Rz. 2092 und 2108 WSN).</w:t>
      </w:r>
    </w:p>
    <w:p>
      <w:r>
        <w:rPr>
          <w:b/>
        </w:rPr>
        <w:t>E. 3.2.3</w:t>
      </w:r>
    </w:p>
    <w:p>
      <w:r>
        <w:t>Nach dem Gesagten ist die Beschwerde insoweit begründet, als der Betrag von Fr. 7'684.- nicht als Renteneinkommen zu qualifizieren ist. Der vorinstanzliche Entscheid und der Einspracheentscheid vom 19. August 2013 sind aufzuheben und die Sache ist an die Beschwerdegegnerin zurückzuweisen, damit sie im Sinne der Erwägungen über die Beiträge für das Jahr 2010 neu verfüge.</w:t>
      </w:r>
    </w:p>
    <w:p>
      <w:r>
        <w:rPr>
          <w:b/>
        </w:rPr>
        <w:t>E. 4</w:t>
      </w:r>
    </w:p>
    <w:p>
      <w:r>
        <w:t>Dem Verfahrensausgang entsprechend werden die Gerichtskosten zu vier Fünftel dem Beschwerdeführer und zu einem Fünftel der Beschwerdegegnerin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